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C1160" w14:textId="75FF2461" w:rsidR="006B47E5" w:rsidRPr="000435EE" w:rsidRDefault="006B47E5" w:rsidP="00354762">
      <w:pPr>
        <w:pStyle w:val="Otsikko1"/>
        <w:rPr>
          <w:b/>
          <w:color w:val="auto"/>
          <w:lang w:eastAsia="fi-FI"/>
        </w:rPr>
      </w:pPr>
      <w:r w:rsidRPr="001C2EBE">
        <w:rPr>
          <w:lang w:eastAsia="fi-FI"/>
        </w:rPr>
        <w:t>Toimielinten palkitsemisraportti</w:t>
      </w:r>
      <w:r w:rsidR="00EB5114">
        <w:rPr>
          <w:lang w:eastAsia="fi-FI"/>
        </w:rPr>
        <w:t xml:space="preserve"> 2021</w:t>
      </w:r>
    </w:p>
    <w:p w14:paraId="6CF8A61B" w14:textId="350CD8EA" w:rsidR="00AC7980" w:rsidRPr="000435EE" w:rsidRDefault="00AC7980" w:rsidP="00AC7980"/>
    <w:p w14:paraId="48EA5309" w14:textId="7CA76D16" w:rsidR="00F2372F" w:rsidRPr="000435EE" w:rsidRDefault="00F2372F" w:rsidP="00354762">
      <w:pPr>
        <w:pStyle w:val="Otsikko2"/>
        <w:rPr>
          <w:color w:val="auto"/>
        </w:rPr>
      </w:pPr>
      <w:r w:rsidRPr="000435EE">
        <w:rPr>
          <w:color w:val="auto"/>
        </w:rPr>
        <w:t>Johdanto</w:t>
      </w:r>
    </w:p>
    <w:p w14:paraId="720C65DF" w14:textId="77777777" w:rsidR="00F2372F" w:rsidRPr="000435EE" w:rsidRDefault="00F2372F" w:rsidP="00AC7980"/>
    <w:p w14:paraId="1F24E49E" w14:textId="146366D7" w:rsidR="00EB5114" w:rsidRPr="000435EE" w:rsidRDefault="00C2018C" w:rsidP="006D192A">
      <w:pPr>
        <w:ind w:left="1440"/>
        <w:rPr>
          <w:szCs w:val="20"/>
        </w:rPr>
      </w:pPr>
      <w:r w:rsidRPr="000435EE">
        <w:rPr>
          <w:szCs w:val="20"/>
        </w:rPr>
        <w:t>T</w:t>
      </w:r>
      <w:r w:rsidR="00804FF0" w:rsidRPr="000435EE">
        <w:rPr>
          <w:szCs w:val="20"/>
        </w:rPr>
        <w:t xml:space="preserve">ämä </w:t>
      </w:r>
      <w:r w:rsidR="00AC7980" w:rsidRPr="000435EE">
        <w:rPr>
          <w:szCs w:val="20"/>
        </w:rPr>
        <w:t xml:space="preserve">palkitsemisraportti selostaa </w:t>
      </w:r>
      <w:r w:rsidRPr="000435EE">
        <w:rPr>
          <w:szCs w:val="20"/>
        </w:rPr>
        <w:t xml:space="preserve">Kesla Oyj:n </w:t>
      </w:r>
      <w:r w:rsidR="00AC7980" w:rsidRPr="000435EE">
        <w:rPr>
          <w:szCs w:val="20"/>
        </w:rPr>
        <w:t xml:space="preserve">viimeksi päättyneen tilikauden aikana </w:t>
      </w:r>
      <w:r w:rsidRPr="000435EE">
        <w:rPr>
          <w:szCs w:val="20"/>
        </w:rPr>
        <w:t xml:space="preserve">toimielimilleen </w:t>
      </w:r>
      <w:r w:rsidR="00AC7980" w:rsidRPr="000435EE">
        <w:rPr>
          <w:szCs w:val="20"/>
        </w:rPr>
        <w:t>maks</w:t>
      </w:r>
      <w:r w:rsidRPr="000435EE">
        <w:rPr>
          <w:szCs w:val="20"/>
        </w:rPr>
        <w:t>amat</w:t>
      </w:r>
      <w:r w:rsidR="00AC7980" w:rsidRPr="000435EE">
        <w:rPr>
          <w:szCs w:val="20"/>
        </w:rPr>
        <w:t xml:space="preserve"> palkkiot.</w:t>
      </w:r>
      <w:r w:rsidR="009C41E9" w:rsidRPr="000435EE">
        <w:rPr>
          <w:szCs w:val="20"/>
        </w:rPr>
        <w:t xml:space="preserve"> </w:t>
      </w:r>
      <w:r w:rsidRPr="000435EE">
        <w:rPr>
          <w:szCs w:val="20"/>
        </w:rPr>
        <w:t xml:space="preserve">Kesla Oyj noudattaa listayhtiöiden hallinnointikoodia 2020. </w:t>
      </w:r>
      <w:r w:rsidR="00EB5114" w:rsidRPr="000435EE">
        <w:rPr>
          <w:szCs w:val="20"/>
        </w:rPr>
        <w:t>Vuoden 2021 palkitsemisraportti on hallituksen hyväksymä.</w:t>
      </w:r>
    </w:p>
    <w:p w14:paraId="0F2AB670" w14:textId="77777777" w:rsidR="00814254" w:rsidRPr="000435EE" w:rsidRDefault="00814254" w:rsidP="006D192A">
      <w:pPr>
        <w:ind w:left="1440"/>
        <w:rPr>
          <w:szCs w:val="20"/>
        </w:rPr>
      </w:pPr>
    </w:p>
    <w:p w14:paraId="2F874940" w14:textId="2AE44CF4" w:rsidR="00AC7980" w:rsidRDefault="00C2018C" w:rsidP="006D192A">
      <w:pPr>
        <w:ind w:left="1440"/>
        <w:rPr>
          <w:szCs w:val="20"/>
        </w:rPr>
      </w:pPr>
      <w:r w:rsidRPr="000435EE">
        <w:rPr>
          <w:szCs w:val="20"/>
        </w:rPr>
        <w:t>Hallituksen ja konsernijohtajan</w:t>
      </w:r>
      <w:r w:rsidR="009C41E9" w:rsidRPr="000435EE">
        <w:rPr>
          <w:szCs w:val="20"/>
        </w:rPr>
        <w:t xml:space="preserve"> palkitsemista ohjaa konsernin palkitsemispolitiikka</w:t>
      </w:r>
      <w:r w:rsidR="00804FF0" w:rsidRPr="000435EE">
        <w:rPr>
          <w:szCs w:val="20"/>
        </w:rPr>
        <w:t xml:space="preserve">, jonka yhtiökokous on </w:t>
      </w:r>
      <w:r w:rsidR="00EB5114" w:rsidRPr="000435EE">
        <w:rPr>
          <w:szCs w:val="20"/>
        </w:rPr>
        <w:t>käsitellyt 5.3.2020</w:t>
      </w:r>
      <w:r w:rsidR="009C41E9" w:rsidRPr="000435EE">
        <w:rPr>
          <w:szCs w:val="20"/>
        </w:rPr>
        <w:t>.</w:t>
      </w:r>
      <w:r w:rsidR="006E352E" w:rsidRPr="000435EE">
        <w:rPr>
          <w:szCs w:val="20"/>
        </w:rPr>
        <w:t xml:space="preserve"> </w:t>
      </w:r>
      <w:r w:rsidR="0063615A" w:rsidRPr="000435EE">
        <w:rPr>
          <w:szCs w:val="20"/>
        </w:rPr>
        <w:t xml:space="preserve">Palkitsemispolitiikassa </w:t>
      </w:r>
      <w:r w:rsidR="0063615A">
        <w:rPr>
          <w:szCs w:val="20"/>
        </w:rPr>
        <w:t xml:space="preserve">kuvataan yhtiön toimielinten palkitsemisen yleiset ohjeet, periaatteet ja päätöksentekoprosessit. </w:t>
      </w:r>
      <w:r w:rsidR="006E352E">
        <w:rPr>
          <w:szCs w:val="20"/>
        </w:rPr>
        <w:t>Tilikaudella 2021 on noudatettu toimielinten palkitsemispolitiikkaa siitä poikkeamatta tai palkkioita takaisin perimättä.</w:t>
      </w:r>
      <w:r w:rsidR="00975BC0">
        <w:rPr>
          <w:szCs w:val="20"/>
        </w:rPr>
        <w:t xml:space="preserve"> Toimielinten palkitsemispolitiikka esitellään yhtiökokoukselle vähintään neljän vuoden välein.</w:t>
      </w:r>
    </w:p>
    <w:p w14:paraId="093873FB" w14:textId="55C60B85" w:rsidR="00D611B4" w:rsidRDefault="00D611B4" w:rsidP="006D192A">
      <w:pPr>
        <w:ind w:left="1440"/>
        <w:rPr>
          <w:szCs w:val="20"/>
        </w:rPr>
      </w:pPr>
    </w:p>
    <w:p w14:paraId="3C49BCD3" w14:textId="73DDAEE9" w:rsidR="00221D98" w:rsidRDefault="00D611B4" w:rsidP="00221D98">
      <w:pPr>
        <w:ind w:left="1440"/>
        <w:rPr>
          <w:szCs w:val="20"/>
        </w:rPr>
      </w:pPr>
      <w:r>
        <w:rPr>
          <w:szCs w:val="20"/>
        </w:rPr>
        <w:t xml:space="preserve">Palkitsemisen tavoitteena on </w:t>
      </w:r>
      <w:r w:rsidR="00170C86">
        <w:rPr>
          <w:szCs w:val="20"/>
        </w:rPr>
        <w:t>kannustaa avainhenkilöitä</w:t>
      </w:r>
      <w:r>
        <w:rPr>
          <w:szCs w:val="20"/>
        </w:rPr>
        <w:t xml:space="preserve"> yhtiön pitkän aikavälin</w:t>
      </w:r>
      <w:r w:rsidR="00170C86">
        <w:rPr>
          <w:szCs w:val="20"/>
        </w:rPr>
        <w:t xml:space="preserve"> taloudellisten</w:t>
      </w:r>
      <w:r>
        <w:rPr>
          <w:szCs w:val="20"/>
        </w:rPr>
        <w:t xml:space="preserve"> tavoitteiden</w:t>
      </w:r>
      <w:r w:rsidR="00170C86">
        <w:rPr>
          <w:szCs w:val="20"/>
        </w:rPr>
        <w:t xml:space="preserve"> saavuttamiseen, kilpailukyvyn parantamiseen ja omistaja-arvon kasvattamiseen.</w:t>
      </w:r>
      <w:r w:rsidR="00ED3BD3">
        <w:rPr>
          <w:szCs w:val="20"/>
        </w:rPr>
        <w:t xml:space="preserve"> Palkitsemisjärjestelyt toimivat myös ylimmän johdon sitouttamisen ja motivoinnin välineenä strategian ja lyhyen tähtäimen tavoitteiden saavuttamiseksi.</w:t>
      </w:r>
    </w:p>
    <w:p w14:paraId="05A8755E" w14:textId="2AAB4CE0" w:rsidR="00E65582" w:rsidRDefault="00E65582" w:rsidP="006D192A">
      <w:pPr>
        <w:ind w:left="1440"/>
        <w:rPr>
          <w:szCs w:val="20"/>
        </w:rPr>
      </w:pPr>
    </w:p>
    <w:p w14:paraId="22F84A8F" w14:textId="1D6DBC10" w:rsidR="00BB2ABE" w:rsidRPr="000435EE" w:rsidRDefault="009405A9" w:rsidP="00BB2ABE">
      <w:pPr>
        <w:ind w:left="1440"/>
        <w:rPr>
          <w:szCs w:val="20"/>
        </w:rPr>
      </w:pPr>
      <w:r w:rsidRPr="008D5134">
        <w:rPr>
          <w:szCs w:val="20"/>
        </w:rPr>
        <w:t>Toimielinten palkkioiden kehitystä verrataan konsernin työntekijöiden palkkojen ja palkkioiden kehitykseen sekä konsernin keskeisimpiin taloudellisiin tavoitteisiin.</w:t>
      </w:r>
      <w:r w:rsidR="002F1B21" w:rsidRPr="008D5134">
        <w:rPr>
          <w:szCs w:val="20"/>
        </w:rPr>
        <w:t xml:space="preserve"> </w:t>
      </w:r>
      <w:r w:rsidR="00BB2ABE" w:rsidRPr="008D5134">
        <w:rPr>
          <w:szCs w:val="20"/>
        </w:rPr>
        <w:t xml:space="preserve">Henkilöstön palkat ja palkkiot sisältää koko konsernin henkilöstölle maksetut palkat ja palkkiot vähennettynä hallituksen ja toimitusjohtajan palkkioilla. Henkilöstön keskipalkka on laskettu </w:t>
      </w:r>
      <w:r w:rsidR="00BB2ABE" w:rsidRPr="000435EE">
        <w:rPr>
          <w:szCs w:val="20"/>
        </w:rPr>
        <w:t>jakamalla henkilöstön palkat ja palkkiot tilikauden keskimääräisellä henkilöstömäärällä, jossa lomautukset ja muut palkattomat poissaolot on huomioitu.</w:t>
      </w:r>
    </w:p>
    <w:p w14:paraId="15D48343" w14:textId="77777777" w:rsidR="00EA6702" w:rsidRPr="000435EE" w:rsidRDefault="00EA6702" w:rsidP="00BB2ABE">
      <w:pPr>
        <w:ind w:left="1440"/>
        <w:rPr>
          <w:szCs w:val="20"/>
        </w:rPr>
      </w:pPr>
    </w:p>
    <w:p w14:paraId="0C129842" w14:textId="2A511FC0" w:rsidR="00AC7980" w:rsidRPr="000435EE" w:rsidRDefault="002F1B21" w:rsidP="006D192A">
      <w:pPr>
        <w:ind w:left="1440"/>
        <w:rPr>
          <w:szCs w:val="20"/>
        </w:rPr>
      </w:pPr>
      <w:r w:rsidRPr="000435EE">
        <w:rPr>
          <w:szCs w:val="20"/>
        </w:rPr>
        <w:t xml:space="preserve">Palkitsemisraportissa esitetyt palkka- ja palkkiotiedot ovat </w:t>
      </w:r>
      <w:r w:rsidR="00C57C59" w:rsidRPr="000435EE">
        <w:rPr>
          <w:szCs w:val="20"/>
        </w:rPr>
        <w:t>maksu</w:t>
      </w:r>
      <w:r w:rsidRPr="000435EE">
        <w:rPr>
          <w:szCs w:val="20"/>
        </w:rPr>
        <w:t>perusteisia.</w:t>
      </w:r>
    </w:p>
    <w:p w14:paraId="59900AC6" w14:textId="21DF519D" w:rsidR="006D192A" w:rsidRPr="000435EE" w:rsidRDefault="006D192A" w:rsidP="006D192A">
      <w:pPr>
        <w:ind w:left="1440"/>
        <w:rPr>
          <w:szCs w:val="20"/>
        </w:rPr>
      </w:pPr>
    </w:p>
    <w:p w14:paraId="0F4AA916" w14:textId="77777777" w:rsidR="00A673DB" w:rsidRPr="000435EE" w:rsidRDefault="00A673DB" w:rsidP="006D192A">
      <w:pPr>
        <w:ind w:left="1440"/>
        <w:rPr>
          <w:szCs w:val="20"/>
        </w:rPr>
      </w:pPr>
    </w:p>
    <w:p w14:paraId="37CFDCBD" w14:textId="5C2CFD8B" w:rsidR="006D192A" w:rsidRPr="000435EE" w:rsidRDefault="002853CF" w:rsidP="00EA6702">
      <w:pPr>
        <w:ind w:left="1440"/>
        <w:rPr>
          <w:b/>
          <w:bCs/>
          <w:i/>
          <w:iCs/>
          <w:szCs w:val="20"/>
        </w:rPr>
      </w:pPr>
      <w:r w:rsidRPr="000435EE">
        <w:rPr>
          <w:b/>
          <w:bCs/>
          <w:i/>
          <w:iCs/>
          <w:szCs w:val="20"/>
        </w:rPr>
        <w:t>Tuloskehitys ja palkitseminen</w:t>
      </w:r>
    </w:p>
    <w:p w14:paraId="7F374F72" w14:textId="77777777" w:rsidR="006D192A" w:rsidRPr="000435EE" w:rsidRDefault="006D192A" w:rsidP="006B47E5">
      <w:pPr>
        <w:ind w:left="1440"/>
        <w:rPr>
          <w:szCs w:val="20"/>
        </w:rPr>
      </w:pPr>
    </w:p>
    <w:p w14:paraId="3231D46D" w14:textId="77777777" w:rsidR="00A673DB" w:rsidRPr="000435EE" w:rsidRDefault="00A673DB" w:rsidP="00A673DB">
      <w:pPr>
        <w:ind w:left="1440"/>
        <w:rPr>
          <w:rFonts w:ascii="Arial" w:hAnsi="Arial" w:cs="Arial"/>
          <w:bCs/>
        </w:rPr>
      </w:pPr>
      <w:r w:rsidRPr="000435EE">
        <w:rPr>
          <w:rFonts w:ascii="Arial" w:hAnsi="Arial" w:cs="Arial"/>
          <w:bCs/>
        </w:rPr>
        <w:t>Materiaalien saatavuusongelmista huolimatta konsernin liikevaihto kasvoi lähes 15 prosenttia 45,5 miljoonaan euroon ja yhtiön liikevoitto lähes nelinkertaistui 2,2 miljoonaan euroon. Liiketoiminnan rahavirta oli 2,5 miljoonaa euroa positiivinen. Tilauskanta kasvoi ennätykselliseksi 51 miljoonaan euroon.</w:t>
      </w:r>
    </w:p>
    <w:p w14:paraId="12FB4651" w14:textId="77777777" w:rsidR="00A673DB" w:rsidRPr="000435EE" w:rsidRDefault="00A673DB" w:rsidP="00A673DB">
      <w:pPr>
        <w:rPr>
          <w:rFonts w:cstheme="minorBidi"/>
          <w:szCs w:val="20"/>
        </w:rPr>
      </w:pPr>
    </w:p>
    <w:p w14:paraId="4CC53A43" w14:textId="11613E5D" w:rsidR="00A673DB" w:rsidRPr="00A673DB" w:rsidRDefault="00A673DB" w:rsidP="00A673DB">
      <w:pPr>
        <w:ind w:left="1440"/>
        <w:rPr>
          <w:szCs w:val="20"/>
        </w:rPr>
      </w:pPr>
      <w:r w:rsidRPr="003552F0">
        <w:rPr>
          <w:szCs w:val="20"/>
        </w:rPr>
        <w:t xml:space="preserve">Konsernin taserakenteen pitkäaikaisena tavoitteena on yli 40 % omavaraisuusaste ja alle 50 % nettovelkaantumisaste. Tilikaudella 2021 </w:t>
      </w:r>
      <w:r w:rsidR="004C22B4">
        <w:rPr>
          <w:szCs w:val="20"/>
        </w:rPr>
        <w:t>o</w:t>
      </w:r>
      <w:r w:rsidRPr="00A673DB">
        <w:rPr>
          <w:szCs w:val="20"/>
        </w:rPr>
        <w:t xml:space="preserve">mavaraisuusaste 41 % ja nettovelkaantuneisuus 60 % säilyivät edellisvuoden tasoilla. Tilikauden tulos </w:t>
      </w:r>
      <w:r w:rsidR="006A44D1">
        <w:rPr>
          <w:szCs w:val="20"/>
        </w:rPr>
        <w:t>piti</w:t>
      </w:r>
      <w:r w:rsidRPr="00A673DB">
        <w:rPr>
          <w:szCs w:val="20"/>
        </w:rPr>
        <w:t xml:space="preserve"> taseen vakaana investointiohjelman toteutuksen käynnistyessä voimakkaammin toisella vuosipuoliskolla.</w:t>
      </w:r>
    </w:p>
    <w:p w14:paraId="4558F5F4" w14:textId="77777777" w:rsidR="00A673DB" w:rsidRPr="00A673DB" w:rsidRDefault="00A673DB" w:rsidP="00A673DB">
      <w:pPr>
        <w:ind w:left="1440"/>
        <w:rPr>
          <w:szCs w:val="20"/>
        </w:rPr>
      </w:pPr>
    </w:p>
    <w:p w14:paraId="227E7F91" w14:textId="53496D5B" w:rsidR="00BB2ABE" w:rsidRPr="00A673DB" w:rsidRDefault="00A673DB" w:rsidP="00F400C9">
      <w:pPr>
        <w:ind w:left="1440"/>
        <w:rPr>
          <w:szCs w:val="20"/>
        </w:rPr>
      </w:pPr>
      <w:r w:rsidRPr="00A673DB">
        <w:rPr>
          <w:szCs w:val="20"/>
        </w:rPr>
        <w:t>Sijoitetun pääoman tuottoprosentti nousi 3:sta 9 prosenttiin, mutta jäi vielä selvästi yhtiön tavoittelemalta 15 % tasolta. Tilikauden viimeisen kvartaalin tuotto 17 % tosin ylitti tavoitetason.</w:t>
      </w:r>
    </w:p>
    <w:p w14:paraId="470298D1" w14:textId="77777777" w:rsidR="009B07D4" w:rsidRDefault="009B07D4" w:rsidP="002853CF">
      <w:pPr>
        <w:ind w:left="1440"/>
        <w:rPr>
          <w:szCs w:val="20"/>
        </w:rPr>
      </w:pPr>
    </w:p>
    <w:p w14:paraId="511B4A9B" w14:textId="2647CFFB" w:rsidR="00857A68" w:rsidRPr="00857A68" w:rsidRDefault="00857A68" w:rsidP="00857A68">
      <w:pPr>
        <w:ind w:left="1440"/>
        <w:rPr>
          <w:szCs w:val="20"/>
        </w:rPr>
      </w:pPr>
      <w:r w:rsidRPr="00857A68">
        <w:rPr>
          <w:szCs w:val="20"/>
        </w:rPr>
        <w:t xml:space="preserve">Henkilöstön palkkojen kehityksen </w:t>
      </w:r>
      <w:r w:rsidR="00144429" w:rsidRPr="00857A68">
        <w:rPr>
          <w:szCs w:val="20"/>
        </w:rPr>
        <w:t>2017–2021</w:t>
      </w:r>
      <w:r w:rsidRPr="00857A68">
        <w:rPr>
          <w:szCs w:val="20"/>
        </w:rPr>
        <w:t xml:space="preserve"> trendi mukailee konsernin sijoitetun pääoman tuoton (ROI) ja liikevoiton kehitystä. Henkilöstön palkat reagoivat konsernin heikon kannattavuuden vuosina kannattavuuden laskua hitaammin ja viiveellä.</w:t>
      </w:r>
    </w:p>
    <w:p w14:paraId="4472C884" w14:textId="77777777" w:rsidR="003552F0" w:rsidRPr="00857A68" w:rsidRDefault="003552F0" w:rsidP="00F10339">
      <w:pPr>
        <w:ind w:left="1440"/>
        <w:rPr>
          <w:szCs w:val="20"/>
        </w:rPr>
      </w:pPr>
    </w:p>
    <w:p w14:paraId="6E7F420F" w14:textId="52935EF2" w:rsidR="006B47E5" w:rsidRPr="00857A68" w:rsidRDefault="006B47E5" w:rsidP="00F10339">
      <w:pPr>
        <w:ind w:left="1440"/>
        <w:rPr>
          <w:szCs w:val="20"/>
        </w:rPr>
      </w:pPr>
      <w:r w:rsidRPr="00857A68">
        <w:rPr>
          <w:szCs w:val="20"/>
        </w:rPr>
        <w:t>Hallituspalkkio</w:t>
      </w:r>
      <w:r w:rsidR="00857A68" w:rsidRPr="00857A68">
        <w:rPr>
          <w:szCs w:val="20"/>
        </w:rPr>
        <w:t>t ovat pysyn</w:t>
      </w:r>
      <w:r w:rsidR="00144429">
        <w:rPr>
          <w:szCs w:val="20"/>
        </w:rPr>
        <w:t>e</w:t>
      </w:r>
      <w:r w:rsidR="00857A68" w:rsidRPr="00857A68">
        <w:rPr>
          <w:szCs w:val="20"/>
        </w:rPr>
        <w:t xml:space="preserve">et samantasoisena viisivuotisen tarkastelujakson </w:t>
      </w:r>
      <w:r w:rsidR="00144429" w:rsidRPr="00857A68">
        <w:rPr>
          <w:szCs w:val="20"/>
        </w:rPr>
        <w:t>2017–2021</w:t>
      </w:r>
      <w:r w:rsidR="00857A68" w:rsidRPr="00857A68">
        <w:rPr>
          <w:szCs w:val="20"/>
        </w:rPr>
        <w:t xml:space="preserve"> ajan. Vuoden 2021 kasvu </w:t>
      </w:r>
      <w:r w:rsidR="00144429">
        <w:rPr>
          <w:szCs w:val="20"/>
        </w:rPr>
        <w:t>hallitus</w:t>
      </w:r>
      <w:r w:rsidR="00857A68" w:rsidRPr="00857A68">
        <w:rPr>
          <w:szCs w:val="20"/>
        </w:rPr>
        <w:t>palkkioissa johtuu palkanmaksusyklin muutoksesta.</w:t>
      </w:r>
    </w:p>
    <w:p w14:paraId="2571CD5D" w14:textId="77777777" w:rsidR="006B47E5" w:rsidRPr="00857A68" w:rsidRDefault="006B47E5" w:rsidP="00F10339">
      <w:pPr>
        <w:ind w:left="1440"/>
        <w:rPr>
          <w:szCs w:val="20"/>
        </w:rPr>
      </w:pPr>
    </w:p>
    <w:p w14:paraId="5C4DF664" w14:textId="78A87EA4" w:rsidR="009A28CD" w:rsidRPr="000435EE" w:rsidRDefault="00505C91" w:rsidP="009A28CD">
      <w:pPr>
        <w:ind w:left="1440"/>
        <w:rPr>
          <w:szCs w:val="20"/>
        </w:rPr>
      </w:pPr>
      <w:r w:rsidRPr="00F31FE1">
        <w:rPr>
          <w:szCs w:val="20"/>
        </w:rPr>
        <w:lastRenderedPageBreak/>
        <w:t>Konsernin t</w:t>
      </w:r>
      <w:r w:rsidR="006B47E5" w:rsidRPr="00F31FE1">
        <w:rPr>
          <w:szCs w:val="20"/>
        </w:rPr>
        <w:t>oimitusjohtajan kiinteä palkanosa on säilynyt saman tasoisena viisivuotisen tarkastelujakson ajan</w:t>
      </w:r>
      <w:r w:rsidRPr="00F31FE1">
        <w:rPr>
          <w:szCs w:val="20"/>
        </w:rPr>
        <w:t xml:space="preserve"> ja </w:t>
      </w:r>
      <w:r w:rsidR="006B47E5" w:rsidRPr="00F31FE1">
        <w:rPr>
          <w:szCs w:val="20"/>
        </w:rPr>
        <w:t xml:space="preserve">muuttuva palkanosa on viiden vuoden tarkastelujaksolla ollut maltillinen. Vuonna 2018 </w:t>
      </w:r>
      <w:r w:rsidR="00F31FE1" w:rsidRPr="00F31FE1">
        <w:rPr>
          <w:szCs w:val="20"/>
        </w:rPr>
        <w:t xml:space="preserve">ja 2021 </w:t>
      </w:r>
      <w:r w:rsidR="006B47E5" w:rsidRPr="00F31FE1">
        <w:rPr>
          <w:szCs w:val="20"/>
        </w:rPr>
        <w:t>makset</w:t>
      </w:r>
      <w:r w:rsidR="00F31FE1" w:rsidRPr="00F31FE1">
        <w:rPr>
          <w:szCs w:val="20"/>
        </w:rPr>
        <w:t>ut</w:t>
      </w:r>
      <w:r w:rsidR="006B47E5" w:rsidRPr="00F31FE1">
        <w:rPr>
          <w:szCs w:val="20"/>
        </w:rPr>
        <w:t xml:space="preserve"> toimitusjohtajan muuttuva</w:t>
      </w:r>
      <w:r w:rsidR="00F31FE1" w:rsidRPr="00F31FE1">
        <w:rPr>
          <w:szCs w:val="20"/>
        </w:rPr>
        <w:t>n</w:t>
      </w:r>
      <w:r w:rsidR="006B47E5" w:rsidRPr="00F31FE1">
        <w:rPr>
          <w:szCs w:val="20"/>
        </w:rPr>
        <w:t xml:space="preserve"> palkanosa</w:t>
      </w:r>
      <w:r w:rsidR="00F31FE1" w:rsidRPr="00F31FE1">
        <w:rPr>
          <w:szCs w:val="20"/>
        </w:rPr>
        <w:t>t</w:t>
      </w:r>
      <w:r w:rsidRPr="00F31FE1">
        <w:rPr>
          <w:szCs w:val="20"/>
        </w:rPr>
        <w:t xml:space="preserve"> ei</w:t>
      </w:r>
      <w:r w:rsidR="00F31FE1" w:rsidRPr="00F31FE1">
        <w:rPr>
          <w:szCs w:val="20"/>
        </w:rPr>
        <w:t>vät</w:t>
      </w:r>
      <w:r w:rsidRPr="00F31FE1">
        <w:rPr>
          <w:szCs w:val="20"/>
        </w:rPr>
        <w:t xml:space="preserve"> ole suoraan johdettu</w:t>
      </w:r>
      <w:r w:rsidR="00F31FE1" w:rsidRPr="00F31FE1">
        <w:rPr>
          <w:szCs w:val="20"/>
        </w:rPr>
        <w:t>ja</w:t>
      </w:r>
      <w:r w:rsidRPr="00F31FE1">
        <w:rPr>
          <w:szCs w:val="20"/>
        </w:rPr>
        <w:t xml:space="preserve"> taloudellisista tavoitteista </w:t>
      </w:r>
      <w:r w:rsidR="00F31FE1" w:rsidRPr="00F31FE1">
        <w:rPr>
          <w:szCs w:val="20"/>
        </w:rPr>
        <w:t>vaan ovat erillispalkkioita strategian toteutumisesta</w:t>
      </w:r>
      <w:r w:rsidR="009A28CD" w:rsidRPr="00F31FE1">
        <w:rPr>
          <w:szCs w:val="20"/>
        </w:rPr>
        <w:t xml:space="preserve">.  Vuonna 2020 toimitusjohtajalla ei ollut kannustepalkkio-ohjelmaa ja </w:t>
      </w:r>
      <w:r w:rsidR="009A28CD" w:rsidRPr="000435EE">
        <w:rPr>
          <w:szCs w:val="20"/>
        </w:rPr>
        <w:t xml:space="preserve">toimitusjohtaja osallistui </w:t>
      </w:r>
      <w:r w:rsidR="00F31FE1" w:rsidRPr="000435EE">
        <w:rPr>
          <w:szCs w:val="20"/>
        </w:rPr>
        <w:t xml:space="preserve">pandemia-ajan </w:t>
      </w:r>
      <w:r w:rsidR="009A28CD" w:rsidRPr="000435EE">
        <w:rPr>
          <w:szCs w:val="20"/>
        </w:rPr>
        <w:t>sopeuttamistoimiin omasta aloitteestaan kiinteällä palkanosallaan työaikaansa lyhentämättä.</w:t>
      </w:r>
    </w:p>
    <w:p w14:paraId="68A166EB" w14:textId="12F6425B" w:rsidR="001D244D" w:rsidRPr="000435EE" w:rsidRDefault="001D244D" w:rsidP="00492F3A">
      <w:pPr>
        <w:rPr>
          <w:szCs w:val="20"/>
        </w:rPr>
      </w:pPr>
    </w:p>
    <w:p w14:paraId="0C5C4FA4" w14:textId="77777777" w:rsidR="001D244D" w:rsidRPr="000435EE" w:rsidRDefault="001D244D" w:rsidP="001D244D">
      <w:pPr>
        <w:ind w:left="1440"/>
        <w:rPr>
          <w:szCs w:val="20"/>
        </w:rPr>
      </w:pPr>
    </w:p>
    <w:tbl>
      <w:tblPr>
        <w:tblStyle w:val="Yksinkertainentaulukko2"/>
        <w:tblW w:w="7534" w:type="dxa"/>
        <w:tblInd w:w="1491" w:type="dxa"/>
        <w:tblLook w:val="04A0" w:firstRow="1" w:lastRow="0" w:firstColumn="1" w:lastColumn="0" w:noHBand="0" w:noVBand="1"/>
      </w:tblPr>
      <w:tblGrid>
        <w:gridCol w:w="3600"/>
        <w:gridCol w:w="737"/>
        <w:gridCol w:w="877"/>
        <w:gridCol w:w="844"/>
        <w:gridCol w:w="743"/>
        <w:gridCol w:w="803"/>
      </w:tblGrid>
      <w:tr w:rsidR="000435EE" w:rsidRPr="000435EE" w14:paraId="7A913BCA" w14:textId="77777777" w:rsidTr="00497C89">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3600" w:type="dxa"/>
            <w:noWrap/>
            <w:hideMark/>
          </w:tcPr>
          <w:p w14:paraId="609C6540" w14:textId="6B0C6814" w:rsidR="00A1698A" w:rsidRPr="000435EE" w:rsidRDefault="000542F9" w:rsidP="00A1698A">
            <w:pPr>
              <w:rPr>
                <w:rFonts w:asciiTheme="majorHAnsi" w:eastAsia="Times New Roman" w:hAnsiTheme="majorHAnsi" w:cstheme="majorHAnsi"/>
                <w:b w:val="0"/>
                <w:bCs w:val="0"/>
                <w:szCs w:val="20"/>
                <w:lang w:eastAsia="fi-FI"/>
              </w:rPr>
            </w:pPr>
            <w:r w:rsidRPr="000435EE">
              <w:rPr>
                <w:rFonts w:ascii="Calibri" w:eastAsia="Times New Roman" w:hAnsi="Calibri" w:cs="Calibri"/>
                <w:sz w:val="22"/>
                <w:lang w:eastAsia="fi-FI"/>
              </w:rPr>
              <w:t>Palkitsemisen kehitys</w:t>
            </w:r>
          </w:p>
        </w:tc>
        <w:tc>
          <w:tcPr>
            <w:tcW w:w="0" w:type="auto"/>
            <w:noWrap/>
            <w:hideMark/>
          </w:tcPr>
          <w:p w14:paraId="6AE53831" w14:textId="6964EDB6" w:rsidR="00A1698A" w:rsidRPr="000435EE" w:rsidRDefault="00A1698A" w:rsidP="00D91F63">
            <w:pPr>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Cs w:val="20"/>
                <w:lang w:eastAsia="fi-FI"/>
              </w:rPr>
            </w:pPr>
            <w:r w:rsidRPr="000435EE">
              <w:rPr>
                <w:rFonts w:asciiTheme="majorHAnsi" w:eastAsia="Times New Roman" w:hAnsiTheme="majorHAnsi" w:cstheme="majorHAnsi"/>
                <w:szCs w:val="20"/>
                <w:lang w:eastAsia="fi-FI"/>
              </w:rPr>
              <w:t>2017</w:t>
            </w:r>
          </w:p>
        </w:tc>
        <w:tc>
          <w:tcPr>
            <w:tcW w:w="877" w:type="dxa"/>
            <w:noWrap/>
            <w:hideMark/>
          </w:tcPr>
          <w:p w14:paraId="76A997E0" w14:textId="0F697B3E" w:rsidR="00A1698A" w:rsidRPr="000435EE" w:rsidRDefault="00A1698A" w:rsidP="00D91F63">
            <w:pPr>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Cs w:val="20"/>
                <w:lang w:eastAsia="fi-FI"/>
              </w:rPr>
            </w:pPr>
            <w:r w:rsidRPr="000435EE">
              <w:rPr>
                <w:rFonts w:asciiTheme="majorHAnsi" w:eastAsia="Times New Roman" w:hAnsiTheme="majorHAnsi" w:cstheme="majorHAnsi"/>
                <w:szCs w:val="20"/>
                <w:lang w:eastAsia="fi-FI"/>
              </w:rPr>
              <w:t>2018</w:t>
            </w:r>
          </w:p>
        </w:tc>
        <w:tc>
          <w:tcPr>
            <w:tcW w:w="844" w:type="dxa"/>
            <w:noWrap/>
            <w:hideMark/>
          </w:tcPr>
          <w:p w14:paraId="633451C0" w14:textId="10D0EAA3" w:rsidR="00A1698A" w:rsidRPr="000435EE" w:rsidRDefault="00A1698A" w:rsidP="00D91F63">
            <w:pPr>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Cs w:val="20"/>
                <w:lang w:eastAsia="fi-FI"/>
              </w:rPr>
            </w:pPr>
            <w:r w:rsidRPr="000435EE">
              <w:rPr>
                <w:rFonts w:asciiTheme="majorHAnsi" w:eastAsia="Times New Roman" w:hAnsiTheme="majorHAnsi" w:cstheme="majorHAnsi"/>
                <w:szCs w:val="20"/>
                <w:lang w:eastAsia="fi-FI"/>
              </w:rPr>
              <w:t>2019</w:t>
            </w:r>
          </w:p>
        </w:tc>
        <w:tc>
          <w:tcPr>
            <w:tcW w:w="743" w:type="dxa"/>
            <w:noWrap/>
            <w:hideMark/>
          </w:tcPr>
          <w:p w14:paraId="693129CF" w14:textId="043B8ECD" w:rsidR="00A1698A" w:rsidRPr="000435EE" w:rsidRDefault="00A1698A" w:rsidP="00D91F63">
            <w:pPr>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Cs w:val="20"/>
                <w:lang w:eastAsia="fi-FI"/>
              </w:rPr>
            </w:pPr>
            <w:r w:rsidRPr="000435EE">
              <w:rPr>
                <w:rFonts w:asciiTheme="majorHAnsi" w:eastAsia="Times New Roman" w:hAnsiTheme="majorHAnsi" w:cstheme="majorHAnsi"/>
                <w:szCs w:val="20"/>
                <w:lang w:eastAsia="fi-FI"/>
              </w:rPr>
              <w:t>2020</w:t>
            </w:r>
          </w:p>
        </w:tc>
        <w:tc>
          <w:tcPr>
            <w:tcW w:w="803" w:type="dxa"/>
            <w:noWrap/>
            <w:hideMark/>
          </w:tcPr>
          <w:p w14:paraId="1E1DDC18" w14:textId="6CB502BC" w:rsidR="00A1698A" w:rsidRPr="000435EE" w:rsidRDefault="00A1698A" w:rsidP="00D91F63">
            <w:pPr>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Cs w:val="20"/>
                <w:lang w:eastAsia="fi-FI"/>
              </w:rPr>
            </w:pPr>
            <w:r w:rsidRPr="000435EE">
              <w:rPr>
                <w:rFonts w:asciiTheme="majorHAnsi" w:eastAsia="Times New Roman" w:hAnsiTheme="majorHAnsi" w:cstheme="majorHAnsi"/>
                <w:szCs w:val="20"/>
                <w:lang w:eastAsia="fi-FI"/>
              </w:rPr>
              <w:t>2021</w:t>
            </w:r>
          </w:p>
        </w:tc>
      </w:tr>
      <w:tr w:rsidR="00A1698A" w:rsidRPr="001C2EBE" w14:paraId="65349385" w14:textId="77777777" w:rsidTr="00497C89">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3600" w:type="dxa"/>
            <w:noWrap/>
            <w:hideMark/>
          </w:tcPr>
          <w:p w14:paraId="30AFA1A1" w14:textId="59C5D07F" w:rsidR="00A1698A" w:rsidRPr="0094046D" w:rsidRDefault="00A1698A" w:rsidP="00A1698A">
            <w:pPr>
              <w:rPr>
                <w:rFonts w:asciiTheme="majorHAnsi" w:eastAsia="Times New Roman" w:hAnsiTheme="majorHAnsi" w:cstheme="majorHAnsi"/>
                <w:sz w:val="18"/>
                <w:szCs w:val="18"/>
                <w:lang w:eastAsia="fi-FI"/>
              </w:rPr>
            </w:pPr>
            <w:r w:rsidRPr="0094046D">
              <w:rPr>
                <w:rFonts w:asciiTheme="majorHAnsi" w:eastAsia="Times New Roman" w:hAnsiTheme="majorHAnsi" w:cstheme="majorHAnsi"/>
                <w:sz w:val="18"/>
                <w:szCs w:val="18"/>
                <w:lang w:eastAsia="fi-FI"/>
              </w:rPr>
              <w:t>Hallituksen palkkiot, t€</w:t>
            </w:r>
          </w:p>
        </w:tc>
        <w:tc>
          <w:tcPr>
            <w:tcW w:w="0" w:type="auto"/>
            <w:noWrap/>
            <w:hideMark/>
          </w:tcPr>
          <w:p w14:paraId="5CD87108" w14:textId="271E6836" w:rsidR="00A1698A" w:rsidRPr="00A1698A" w:rsidRDefault="00A1698A" w:rsidP="00D91F63">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fi-FI"/>
              </w:rPr>
            </w:pPr>
            <w:r w:rsidRPr="00A1698A">
              <w:rPr>
                <w:rFonts w:asciiTheme="majorHAnsi" w:eastAsia="Times New Roman" w:hAnsiTheme="majorHAnsi" w:cstheme="majorHAnsi"/>
                <w:sz w:val="18"/>
                <w:szCs w:val="18"/>
                <w:lang w:eastAsia="fi-FI"/>
              </w:rPr>
              <w:t>99</w:t>
            </w:r>
          </w:p>
        </w:tc>
        <w:tc>
          <w:tcPr>
            <w:tcW w:w="877" w:type="dxa"/>
            <w:noWrap/>
            <w:hideMark/>
          </w:tcPr>
          <w:p w14:paraId="76752E0C" w14:textId="4D39256B" w:rsidR="00A1698A" w:rsidRPr="00A1698A" w:rsidRDefault="00A1698A" w:rsidP="00D91F63">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fi-FI"/>
              </w:rPr>
            </w:pPr>
            <w:r w:rsidRPr="00A1698A">
              <w:rPr>
                <w:rFonts w:asciiTheme="majorHAnsi" w:eastAsia="Times New Roman" w:hAnsiTheme="majorHAnsi" w:cstheme="majorHAnsi"/>
                <w:sz w:val="18"/>
                <w:szCs w:val="18"/>
                <w:lang w:eastAsia="fi-FI"/>
              </w:rPr>
              <w:t>97</w:t>
            </w:r>
          </w:p>
        </w:tc>
        <w:tc>
          <w:tcPr>
            <w:tcW w:w="844" w:type="dxa"/>
            <w:noWrap/>
            <w:hideMark/>
          </w:tcPr>
          <w:p w14:paraId="08748304" w14:textId="2E0D6003" w:rsidR="00A1698A" w:rsidRPr="00A1698A" w:rsidRDefault="00A1698A" w:rsidP="00D91F63">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fi-FI"/>
              </w:rPr>
            </w:pPr>
            <w:r w:rsidRPr="00A1698A">
              <w:rPr>
                <w:rFonts w:asciiTheme="majorHAnsi" w:eastAsia="Times New Roman" w:hAnsiTheme="majorHAnsi" w:cstheme="majorHAnsi"/>
                <w:sz w:val="18"/>
                <w:szCs w:val="18"/>
                <w:lang w:eastAsia="fi-FI"/>
              </w:rPr>
              <w:t>99</w:t>
            </w:r>
          </w:p>
        </w:tc>
        <w:tc>
          <w:tcPr>
            <w:tcW w:w="743" w:type="dxa"/>
            <w:noWrap/>
            <w:hideMark/>
          </w:tcPr>
          <w:p w14:paraId="78D2DF48" w14:textId="0D5A9E6B" w:rsidR="00A1698A" w:rsidRPr="00A1698A" w:rsidRDefault="00A1698A" w:rsidP="00D91F63">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fi-FI"/>
              </w:rPr>
            </w:pPr>
            <w:r w:rsidRPr="00A1698A">
              <w:rPr>
                <w:rFonts w:asciiTheme="majorHAnsi" w:eastAsia="Times New Roman" w:hAnsiTheme="majorHAnsi" w:cstheme="majorHAnsi"/>
                <w:sz w:val="18"/>
                <w:szCs w:val="18"/>
                <w:lang w:eastAsia="fi-FI"/>
              </w:rPr>
              <w:t>99</w:t>
            </w:r>
          </w:p>
        </w:tc>
        <w:tc>
          <w:tcPr>
            <w:tcW w:w="803" w:type="dxa"/>
            <w:noWrap/>
          </w:tcPr>
          <w:p w14:paraId="4CCCBB27" w14:textId="69856D6A" w:rsidR="00A1698A" w:rsidRPr="00A1698A" w:rsidRDefault="00A1698A" w:rsidP="00D91F63">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fi-FI"/>
              </w:rPr>
            </w:pPr>
            <w:r w:rsidRPr="00A1698A">
              <w:rPr>
                <w:rFonts w:asciiTheme="majorHAnsi" w:eastAsia="Times New Roman" w:hAnsiTheme="majorHAnsi" w:cstheme="majorHAnsi"/>
                <w:sz w:val="18"/>
                <w:szCs w:val="18"/>
                <w:lang w:eastAsia="fi-FI"/>
              </w:rPr>
              <w:t>105</w:t>
            </w:r>
          </w:p>
        </w:tc>
      </w:tr>
      <w:tr w:rsidR="00A1698A" w:rsidRPr="001C2EBE" w14:paraId="70EB6A69" w14:textId="77777777" w:rsidTr="00497C89">
        <w:trPr>
          <w:trHeight w:val="303"/>
        </w:trPr>
        <w:tc>
          <w:tcPr>
            <w:cnfStyle w:val="001000000000" w:firstRow="0" w:lastRow="0" w:firstColumn="1" w:lastColumn="0" w:oddVBand="0" w:evenVBand="0" w:oddHBand="0" w:evenHBand="0" w:firstRowFirstColumn="0" w:firstRowLastColumn="0" w:lastRowFirstColumn="0" w:lastRowLastColumn="0"/>
            <w:tcW w:w="3600" w:type="dxa"/>
            <w:noWrap/>
            <w:hideMark/>
          </w:tcPr>
          <w:p w14:paraId="2D0C32AE" w14:textId="77777777" w:rsidR="00A1698A" w:rsidRPr="0094046D" w:rsidRDefault="00A1698A" w:rsidP="00A1698A">
            <w:pPr>
              <w:rPr>
                <w:rFonts w:asciiTheme="majorHAnsi" w:eastAsia="Times New Roman" w:hAnsiTheme="majorHAnsi" w:cstheme="majorHAnsi"/>
                <w:sz w:val="18"/>
                <w:szCs w:val="18"/>
                <w:lang w:eastAsia="fi-FI"/>
              </w:rPr>
            </w:pPr>
            <w:r w:rsidRPr="0094046D">
              <w:rPr>
                <w:rFonts w:asciiTheme="majorHAnsi" w:eastAsia="Times New Roman" w:hAnsiTheme="majorHAnsi" w:cstheme="majorHAnsi"/>
                <w:sz w:val="18"/>
                <w:szCs w:val="18"/>
                <w:lang w:eastAsia="fi-FI"/>
              </w:rPr>
              <w:t>Hallitus palkkioiden kehitys</w:t>
            </w:r>
          </w:p>
        </w:tc>
        <w:tc>
          <w:tcPr>
            <w:tcW w:w="0" w:type="auto"/>
            <w:noWrap/>
            <w:hideMark/>
          </w:tcPr>
          <w:p w14:paraId="4800FD20" w14:textId="46E4D8CA" w:rsidR="00A1698A" w:rsidRPr="00A1698A" w:rsidRDefault="00A1698A" w:rsidP="00D91F63">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fi-FI"/>
              </w:rPr>
            </w:pPr>
            <w:r w:rsidRPr="00A1698A">
              <w:rPr>
                <w:rFonts w:asciiTheme="majorHAnsi" w:eastAsia="Times New Roman" w:hAnsiTheme="majorHAnsi" w:cstheme="majorHAnsi"/>
                <w:sz w:val="18"/>
                <w:szCs w:val="18"/>
                <w:lang w:eastAsia="fi-FI"/>
              </w:rPr>
              <w:t>-</w:t>
            </w:r>
            <w:r w:rsidR="00A50B4D">
              <w:rPr>
                <w:rFonts w:asciiTheme="majorHAnsi" w:eastAsia="Times New Roman" w:hAnsiTheme="majorHAnsi" w:cstheme="majorHAnsi"/>
                <w:sz w:val="18"/>
                <w:szCs w:val="18"/>
                <w:lang w:eastAsia="fi-FI"/>
              </w:rPr>
              <w:t>2,9</w:t>
            </w:r>
            <w:r w:rsidRPr="00A1698A">
              <w:rPr>
                <w:rFonts w:asciiTheme="majorHAnsi" w:eastAsia="Times New Roman" w:hAnsiTheme="majorHAnsi" w:cstheme="majorHAnsi"/>
                <w:sz w:val="18"/>
                <w:szCs w:val="18"/>
                <w:lang w:eastAsia="fi-FI"/>
              </w:rPr>
              <w:t xml:space="preserve"> %</w:t>
            </w:r>
          </w:p>
        </w:tc>
        <w:tc>
          <w:tcPr>
            <w:tcW w:w="877" w:type="dxa"/>
            <w:noWrap/>
            <w:hideMark/>
          </w:tcPr>
          <w:p w14:paraId="68FB8C24" w14:textId="246B43CC" w:rsidR="00A1698A" w:rsidRPr="00A1698A" w:rsidRDefault="00A1698A" w:rsidP="00D91F63">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fi-FI"/>
              </w:rPr>
            </w:pPr>
            <w:r w:rsidRPr="00A1698A">
              <w:rPr>
                <w:rFonts w:asciiTheme="majorHAnsi" w:eastAsia="Times New Roman" w:hAnsiTheme="majorHAnsi" w:cstheme="majorHAnsi"/>
                <w:sz w:val="18"/>
                <w:szCs w:val="18"/>
                <w:lang w:eastAsia="fi-FI"/>
              </w:rPr>
              <w:t>-2</w:t>
            </w:r>
            <w:r w:rsidR="00A50B4D">
              <w:rPr>
                <w:rFonts w:asciiTheme="majorHAnsi" w:eastAsia="Times New Roman" w:hAnsiTheme="majorHAnsi" w:cstheme="majorHAnsi"/>
                <w:sz w:val="18"/>
                <w:szCs w:val="18"/>
                <w:lang w:eastAsia="fi-FI"/>
              </w:rPr>
              <w:t>,0</w:t>
            </w:r>
            <w:r w:rsidRPr="00A1698A">
              <w:rPr>
                <w:rFonts w:asciiTheme="majorHAnsi" w:eastAsia="Times New Roman" w:hAnsiTheme="majorHAnsi" w:cstheme="majorHAnsi"/>
                <w:sz w:val="18"/>
                <w:szCs w:val="18"/>
                <w:lang w:eastAsia="fi-FI"/>
              </w:rPr>
              <w:t xml:space="preserve"> %</w:t>
            </w:r>
          </w:p>
        </w:tc>
        <w:tc>
          <w:tcPr>
            <w:tcW w:w="844" w:type="dxa"/>
            <w:noWrap/>
            <w:hideMark/>
          </w:tcPr>
          <w:p w14:paraId="153C20EA" w14:textId="2D82A440" w:rsidR="00A1698A" w:rsidRPr="00A1698A" w:rsidRDefault="00A1698A" w:rsidP="00D91F63">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fi-FI"/>
              </w:rPr>
            </w:pPr>
            <w:r w:rsidRPr="00A1698A">
              <w:rPr>
                <w:rFonts w:asciiTheme="majorHAnsi" w:eastAsia="Times New Roman" w:hAnsiTheme="majorHAnsi" w:cstheme="majorHAnsi"/>
                <w:sz w:val="18"/>
                <w:szCs w:val="18"/>
                <w:lang w:eastAsia="fi-FI"/>
              </w:rPr>
              <w:t>2</w:t>
            </w:r>
            <w:r w:rsidR="00A50B4D">
              <w:rPr>
                <w:rFonts w:asciiTheme="majorHAnsi" w:eastAsia="Times New Roman" w:hAnsiTheme="majorHAnsi" w:cstheme="majorHAnsi"/>
                <w:sz w:val="18"/>
                <w:szCs w:val="18"/>
                <w:lang w:eastAsia="fi-FI"/>
              </w:rPr>
              <w:t>,1</w:t>
            </w:r>
            <w:r w:rsidRPr="00A1698A">
              <w:rPr>
                <w:rFonts w:asciiTheme="majorHAnsi" w:eastAsia="Times New Roman" w:hAnsiTheme="majorHAnsi" w:cstheme="majorHAnsi"/>
                <w:sz w:val="18"/>
                <w:szCs w:val="18"/>
                <w:lang w:eastAsia="fi-FI"/>
              </w:rPr>
              <w:t xml:space="preserve"> %</w:t>
            </w:r>
          </w:p>
        </w:tc>
        <w:tc>
          <w:tcPr>
            <w:tcW w:w="743" w:type="dxa"/>
            <w:noWrap/>
            <w:hideMark/>
          </w:tcPr>
          <w:p w14:paraId="3EC770B2" w14:textId="5FAFB9A0" w:rsidR="00A1698A" w:rsidRPr="00A1698A" w:rsidRDefault="00A1698A" w:rsidP="00D91F63">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fi-FI"/>
              </w:rPr>
            </w:pPr>
            <w:r w:rsidRPr="00A1698A">
              <w:rPr>
                <w:rFonts w:asciiTheme="majorHAnsi" w:eastAsia="Times New Roman" w:hAnsiTheme="majorHAnsi" w:cstheme="majorHAnsi"/>
                <w:sz w:val="18"/>
                <w:szCs w:val="18"/>
                <w:lang w:eastAsia="fi-FI"/>
              </w:rPr>
              <w:t>- %</w:t>
            </w:r>
          </w:p>
        </w:tc>
        <w:tc>
          <w:tcPr>
            <w:tcW w:w="803" w:type="dxa"/>
            <w:noWrap/>
          </w:tcPr>
          <w:p w14:paraId="043B45A4" w14:textId="3EE75377" w:rsidR="00A1698A" w:rsidRPr="00A1698A" w:rsidRDefault="00A50B4D" w:rsidP="00D91F63">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fi-FI"/>
              </w:rPr>
            </w:pPr>
            <w:r>
              <w:rPr>
                <w:rFonts w:asciiTheme="majorHAnsi" w:eastAsia="Times New Roman" w:hAnsiTheme="majorHAnsi" w:cstheme="majorHAnsi"/>
                <w:sz w:val="18"/>
                <w:szCs w:val="18"/>
                <w:lang w:eastAsia="fi-FI"/>
              </w:rPr>
              <w:t>5,6</w:t>
            </w:r>
            <w:r w:rsidR="00A1698A" w:rsidRPr="00A1698A">
              <w:rPr>
                <w:rFonts w:asciiTheme="majorHAnsi" w:eastAsia="Times New Roman" w:hAnsiTheme="majorHAnsi" w:cstheme="majorHAnsi"/>
                <w:sz w:val="18"/>
                <w:szCs w:val="18"/>
                <w:lang w:eastAsia="fi-FI"/>
              </w:rPr>
              <w:t xml:space="preserve"> %</w:t>
            </w:r>
          </w:p>
        </w:tc>
      </w:tr>
      <w:tr w:rsidR="00A1698A" w:rsidRPr="001C2EBE" w14:paraId="20D179B3" w14:textId="77777777" w:rsidTr="00497C89">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3600" w:type="dxa"/>
            <w:noWrap/>
            <w:hideMark/>
          </w:tcPr>
          <w:p w14:paraId="125E2313" w14:textId="6A073EBB" w:rsidR="00A1698A" w:rsidRPr="0094046D" w:rsidRDefault="00A1698A" w:rsidP="00A1698A">
            <w:pPr>
              <w:rPr>
                <w:rFonts w:asciiTheme="majorHAnsi" w:eastAsia="Times New Roman" w:hAnsiTheme="majorHAnsi" w:cstheme="majorHAnsi"/>
                <w:sz w:val="18"/>
                <w:szCs w:val="18"/>
                <w:lang w:eastAsia="fi-FI"/>
              </w:rPr>
            </w:pPr>
            <w:r w:rsidRPr="0094046D">
              <w:rPr>
                <w:rFonts w:asciiTheme="majorHAnsi" w:eastAsia="Times New Roman" w:hAnsiTheme="majorHAnsi" w:cstheme="majorHAnsi"/>
                <w:sz w:val="18"/>
                <w:szCs w:val="18"/>
                <w:lang w:eastAsia="fi-FI"/>
              </w:rPr>
              <w:t>TJ palkkio Simo Saastamoinen, t€</w:t>
            </w:r>
          </w:p>
        </w:tc>
        <w:tc>
          <w:tcPr>
            <w:tcW w:w="0" w:type="auto"/>
            <w:noWrap/>
            <w:hideMark/>
          </w:tcPr>
          <w:p w14:paraId="40745D27" w14:textId="565CF044" w:rsidR="00A1698A" w:rsidRPr="00A1698A" w:rsidRDefault="00A1698A" w:rsidP="00D91F63">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fi-FI"/>
              </w:rPr>
            </w:pPr>
            <w:r w:rsidRPr="00A1698A">
              <w:rPr>
                <w:rFonts w:asciiTheme="majorHAnsi" w:eastAsia="Times New Roman" w:hAnsiTheme="majorHAnsi" w:cstheme="majorHAnsi"/>
                <w:sz w:val="18"/>
                <w:szCs w:val="18"/>
                <w:lang w:eastAsia="fi-FI"/>
              </w:rPr>
              <w:t>227</w:t>
            </w:r>
          </w:p>
        </w:tc>
        <w:tc>
          <w:tcPr>
            <w:tcW w:w="877" w:type="dxa"/>
            <w:noWrap/>
            <w:hideMark/>
          </w:tcPr>
          <w:p w14:paraId="4B26856C" w14:textId="5D04970F" w:rsidR="00A1698A" w:rsidRPr="00A1698A" w:rsidRDefault="00A1698A" w:rsidP="00D91F63">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fi-FI"/>
              </w:rPr>
            </w:pPr>
            <w:r w:rsidRPr="00A1698A">
              <w:rPr>
                <w:rFonts w:asciiTheme="majorHAnsi" w:eastAsia="Times New Roman" w:hAnsiTheme="majorHAnsi" w:cstheme="majorHAnsi"/>
                <w:sz w:val="18"/>
                <w:szCs w:val="18"/>
                <w:lang w:eastAsia="fi-FI"/>
              </w:rPr>
              <w:t>251</w:t>
            </w:r>
          </w:p>
        </w:tc>
        <w:tc>
          <w:tcPr>
            <w:tcW w:w="844" w:type="dxa"/>
            <w:noWrap/>
            <w:hideMark/>
          </w:tcPr>
          <w:p w14:paraId="1FD95B6D" w14:textId="452E2C39" w:rsidR="00A1698A" w:rsidRPr="00A1698A" w:rsidRDefault="00A1698A" w:rsidP="00D91F63">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fi-FI"/>
              </w:rPr>
            </w:pPr>
            <w:r w:rsidRPr="00A1698A">
              <w:rPr>
                <w:rFonts w:asciiTheme="majorHAnsi" w:eastAsia="Times New Roman" w:hAnsiTheme="majorHAnsi" w:cstheme="majorHAnsi"/>
                <w:sz w:val="18"/>
                <w:szCs w:val="18"/>
                <w:lang w:eastAsia="fi-FI"/>
              </w:rPr>
              <w:t>223</w:t>
            </w:r>
          </w:p>
        </w:tc>
        <w:tc>
          <w:tcPr>
            <w:tcW w:w="743" w:type="dxa"/>
            <w:noWrap/>
            <w:hideMark/>
          </w:tcPr>
          <w:p w14:paraId="70951A3E" w14:textId="5B3F23BC" w:rsidR="00A1698A" w:rsidRPr="00A1698A" w:rsidRDefault="00A1698A" w:rsidP="00D91F63">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fi-FI"/>
              </w:rPr>
            </w:pPr>
            <w:r w:rsidRPr="00A1698A">
              <w:rPr>
                <w:rFonts w:asciiTheme="majorHAnsi" w:eastAsia="Times New Roman" w:hAnsiTheme="majorHAnsi" w:cstheme="majorHAnsi"/>
                <w:sz w:val="18"/>
                <w:szCs w:val="18"/>
                <w:lang w:eastAsia="fi-FI"/>
              </w:rPr>
              <w:t>215</w:t>
            </w:r>
          </w:p>
        </w:tc>
        <w:tc>
          <w:tcPr>
            <w:tcW w:w="803" w:type="dxa"/>
            <w:noWrap/>
          </w:tcPr>
          <w:p w14:paraId="231CBED3" w14:textId="78C1A55E" w:rsidR="00A1698A" w:rsidRPr="00A1698A" w:rsidRDefault="00A1698A" w:rsidP="00D91F63">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fi-FI"/>
              </w:rPr>
            </w:pPr>
            <w:r w:rsidRPr="00A1698A">
              <w:rPr>
                <w:rFonts w:asciiTheme="majorHAnsi" w:eastAsia="Times New Roman" w:hAnsiTheme="majorHAnsi" w:cstheme="majorHAnsi"/>
                <w:sz w:val="18"/>
                <w:szCs w:val="18"/>
                <w:lang w:eastAsia="fi-FI"/>
              </w:rPr>
              <w:t>232</w:t>
            </w:r>
          </w:p>
        </w:tc>
      </w:tr>
      <w:tr w:rsidR="00A1698A" w:rsidRPr="001C2EBE" w14:paraId="48867E80" w14:textId="77777777" w:rsidTr="00497C89">
        <w:trPr>
          <w:trHeight w:val="303"/>
        </w:trPr>
        <w:tc>
          <w:tcPr>
            <w:cnfStyle w:val="001000000000" w:firstRow="0" w:lastRow="0" w:firstColumn="1" w:lastColumn="0" w:oddVBand="0" w:evenVBand="0" w:oddHBand="0" w:evenHBand="0" w:firstRowFirstColumn="0" w:firstRowLastColumn="0" w:lastRowFirstColumn="0" w:lastRowLastColumn="0"/>
            <w:tcW w:w="3600" w:type="dxa"/>
            <w:noWrap/>
            <w:hideMark/>
          </w:tcPr>
          <w:p w14:paraId="30711DD6" w14:textId="77777777" w:rsidR="00A1698A" w:rsidRPr="0094046D" w:rsidRDefault="00A1698A" w:rsidP="00A1698A">
            <w:pPr>
              <w:rPr>
                <w:rFonts w:asciiTheme="majorHAnsi" w:eastAsia="Times New Roman" w:hAnsiTheme="majorHAnsi" w:cstheme="majorHAnsi"/>
                <w:sz w:val="18"/>
                <w:szCs w:val="18"/>
                <w:lang w:eastAsia="fi-FI"/>
              </w:rPr>
            </w:pPr>
            <w:r w:rsidRPr="0094046D">
              <w:rPr>
                <w:rFonts w:asciiTheme="majorHAnsi" w:eastAsia="Times New Roman" w:hAnsiTheme="majorHAnsi" w:cstheme="majorHAnsi"/>
                <w:sz w:val="18"/>
                <w:szCs w:val="18"/>
                <w:lang w:eastAsia="fi-FI"/>
              </w:rPr>
              <w:t xml:space="preserve">TJ palkkio Simo Saastamoinen, </w:t>
            </w:r>
          </w:p>
          <w:p w14:paraId="1F3681B9" w14:textId="650BE92B" w:rsidR="00A1698A" w:rsidRPr="0094046D" w:rsidRDefault="00A1698A" w:rsidP="00A1698A">
            <w:pPr>
              <w:rPr>
                <w:rFonts w:asciiTheme="majorHAnsi" w:eastAsia="Times New Roman" w:hAnsiTheme="majorHAnsi" w:cstheme="majorHAnsi"/>
                <w:sz w:val="18"/>
                <w:szCs w:val="18"/>
                <w:lang w:eastAsia="fi-FI"/>
              </w:rPr>
            </w:pPr>
            <w:r w:rsidRPr="0094046D">
              <w:rPr>
                <w:rFonts w:asciiTheme="majorHAnsi" w:eastAsia="Times New Roman" w:hAnsiTheme="majorHAnsi" w:cstheme="majorHAnsi"/>
                <w:sz w:val="18"/>
                <w:szCs w:val="18"/>
                <w:lang w:eastAsia="fi-FI"/>
              </w:rPr>
              <w:t>kiinteä palkan osa, t€</w:t>
            </w:r>
          </w:p>
        </w:tc>
        <w:tc>
          <w:tcPr>
            <w:tcW w:w="0" w:type="auto"/>
            <w:noWrap/>
            <w:hideMark/>
          </w:tcPr>
          <w:p w14:paraId="091B6ACE" w14:textId="7234CC1F" w:rsidR="00A1698A" w:rsidRPr="00A1698A" w:rsidRDefault="00A1698A" w:rsidP="00D91F63">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fi-FI"/>
              </w:rPr>
            </w:pPr>
            <w:r w:rsidRPr="00A1698A">
              <w:rPr>
                <w:rFonts w:asciiTheme="majorHAnsi" w:eastAsia="Times New Roman" w:hAnsiTheme="majorHAnsi" w:cstheme="majorHAnsi"/>
                <w:sz w:val="18"/>
                <w:szCs w:val="18"/>
                <w:lang w:eastAsia="fi-FI"/>
              </w:rPr>
              <w:t>204</w:t>
            </w:r>
          </w:p>
        </w:tc>
        <w:tc>
          <w:tcPr>
            <w:tcW w:w="877" w:type="dxa"/>
            <w:noWrap/>
            <w:hideMark/>
          </w:tcPr>
          <w:p w14:paraId="7BDD1715" w14:textId="6594EC53" w:rsidR="00A1698A" w:rsidRPr="00A1698A" w:rsidRDefault="00A1698A" w:rsidP="00D91F63">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fi-FI"/>
              </w:rPr>
            </w:pPr>
            <w:r w:rsidRPr="00A1698A">
              <w:rPr>
                <w:rFonts w:asciiTheme="majorHAnsi" w:eastAsia="Times New Roman" w:hAnsiTheme="majorHAnsi" w:cstheme="majorHAnsi"/>
                <w:sz w:val="18"/>
                <w:szCs w:val="18"/>
                <w:lang w:eastAsia="fi-FI"/>
              </w:rPr>
              <w:t>222</w:t>
            </w:r>
          </w:p>
        </w:tc>
        <w:tc>
          <w:tcPr>
            <w:tcW w:w="844" w:type="dxa"/>
            <w:noWrap/>
            <w:hideMark/>
          </w:tcPr>
          <w:p w14:paraId="6BCB6DF2" w14:textId="0055856D" w:rsidR="00A1698A" w:rsidRPr="00A1698A" w:rsidRDefault="00A1698A" w:rsidP="00D91F63">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fi-FI"/>
              </w:rPr>
            </w:pPr>
            <w:r w:rsidRPr="00A1698A">
              <w:rPr>
                <w:rFonts w:asciiTheme="majorHAnsi" w:eastAsia="Times New Roman" w:hAnsiTheme="majorHAnsi" w:cstheme="majorHAnsi"/>
                <w:sz w:val="18"/>
                <w:szCs w:val="18"/>
                <w:lang w:eastAsia="fi-FI"/>
              </w:rPr>
              <w:t>223</w:t>
            </w:r>
          </w:p>
        </w:tc>
        <w:tc>
          <w:tcPr>
            <w:tcW w:w="743" w:type="dxa"/>
            <w:noWrap/>
            <w:hideMark/>
          </w:tcPr>
          <w:p w14:paraId="7645DDB6" w14:textId="664B10EF" w:rsidR="00A1698A" w:rsidRPr="00A1698A" w:rsidRDefault="00A1698A" w:rsidP="00D91F63">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fi-FI"/>
              </w:rPr>
            </w:pPr>
            <w:r w:rsidRPr="00A1698A">
              <w:rPr>
                <w:rFonts w:asciiTheme="majorHAnsi" w:eastAsia="Times New Roman" w:hAnsiTheme="majorHAnsi" w:cstheme="majorHAnsi"/>
                <w:sz w:val="18"/>
                <w:szCs w:val="18"/>
                <w:lang w:eastAsia="fi-FI"/>
              </w:rPr>
              <w:t>215</w:t>
            </w:r>
          </w:p>
        </w:tc>
        <w:tc>
          <w:tcPr>
            <w:tcW w:w="803" w:type="dxa"/>
            <w:noWrap/>
          </w:tcPr>
          <w:p w14:paraId="7157989C" w14:textId="694E11C1" w:rsidR="00A1698A" w:rsidRPr="00A1698A" w:rsidRDefault="00A1698A" w:rsidP="00D91F63">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fi-FI"/>
              </w:rPr>
            </w:pPr>
            <w:r w:rsidRPr="00A1698A">
              <w:rPr>
                <w:rFonts w:asciiTheme="majorHAnsi" w:eastAsia="Times New Roman" w:hAnsiTheme="majorHAnsi" w:cstheme="majorHAnsi"/>
                <w:sz w:val="18"/>
                <w:szCs w:val="18"/>
                <w:lang w:eastAsia="fi-FI"/>
              </w:rPr>
              <w:t>223</w:t>
            </w:r>
          </w:p>
        </w:tc>
      </w:tr>
      <w:tr w:rsidR="00A1698A" w:rsidRPr="001C2EBE" w14:paraId="6EFB2334" w14:textId="77777777" w:rsidTr="00497C89">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3600" w:type="dxa"/>
            <w:noWrap/>
            <w:hideMark/>
          </w:tcPr>
          <w:p w14:paraId="53B4A81E" w14:textId="77777777" w:rsidR="00A1698A" w:rsidRPr="0094046D" w:rsidRDefault="00A1698A" w:rsidP="00A1698A">
            <w:pPr>
              <w:rPr>
                <w:rFonts w:asciiTheme="majorHAnsi" w:eastAsia="Times New Roman" w:hAnsiTheme="majorHAnsi" w:cstheme="majorHAnsi"/>
                <w:sz w:val="18"/>
                <w:szCs w:val="18"/>
                <w:lang w:eastAsia="fi-FI"/>
              </w:rPr>
            </w:pPr>
            <w:r w:rsidRPr="0094046D">
              <w:rPr>
                <w:rFonts w:asciiTheme="majorHAnsi" w:eastAsia="Times New Roman" w:hAnsiTheme="majorHAnsi" w:cstheme="majorHAnsi"/>
                <w:sz w:val="18"/>
                <w:szCs w:val="18"/>
                <w:lang w:eastAsia="fi-FI"/>
              </w:rPr>
              <w:t xml:space="preserve">TJ palkkio Simo Saastamoinen, </w:t>
            </w:r>
          </w:p>
          <w:p w14:paraId="6AAFC8A4" w14:textId="495F10FC" w:rsidR="00A1698A" w:rsidRPr="0094046D" w:rsidRDefault="00A1698A" w:rsidP="00A1698A">
            <w:pPr>
              <w:rPr>
                <w:rFonts w:asciiTheme="majorHAnsi" w:eastAsia="Times New Roman" w:hAnsiTheme="majorHAnsi" w:cstheme="majorHAnsi"/>
                <w:sz w:val="18"/>
                <w:szCs w:val="18"/>
                <w:lang w:eastAsia="fi-FI"/>
              </w:rPr>
            </w:pPr>
            <w:r w:rsidRPr="0094046D">
              <w:rPr>
                <w:rFonts w:asciiTheme="majorHAnsi" w:eastAsia="Times New Roman" w:hAnsiTheme="majorHAnsi" w:cstheme="majorHAnsi"/>
                <w:sz w:val="18"/>
                <w:szCs w:val="18"/>
                <w:lang w:eastAsia="fi-FI"/>
              </w:rPr>
              <w:t>muuttuva palkan osa, t€</w:t>
            </w:r>
          </w:p>
        </w:tc>
        <w:tc>
          <w:tcPr>
            <w:tcW w:w="0" w:type="auto"/>
            <w:noWrap/>
            <w:hideMark/>
          </w:tcPr>
          <w:p w14:paraId="74B13B1A" w14:textId="64CEEF63" w:rsidR="00A1698A" w:rsidRPr="00A1698A" w:rsidRDefault="00A1698A" w:rsidP="00D91F63">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fi-FI"/>
              </w:rPr>
            </w:pPr>
            <w:r w:rsidRPr="00A1698A">
              <w:rPr>
                <w:rFonts w:asciiTheme="majorHAnsi" w:eastAsia="Times New Roman" w:hAnsiTheme="majorHAnsi" w:cstheme="majorHAnsi"/>
                <w:sz w:val="18"/>
                <w:szCs w:val="18"/>
                <w:lang w:eastAsia="fi-FI"/>
              </w:rPr>
              <w:t>23</w:t>
            </w:r>
          </w:p>
        </w:tc>
        <w:tc>
          <w:tcPr>
            <w:tcW w:w="877" w:type="dxa"/>
            <w:noWrap/>
            <w:hideMark/>
          </w:tcPr>
          <w:p w14:paraId="4E355A7E" w14:textId="526AF91B" w:rsidR="00A1698A" w:rsidRPr="00A1698A" w:rsidRDefault="00A1698A" w:rsidP="00D91F63">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fi-FI"/>
              </w:rPr>
            </w:pPr>
            <w:r w:rsidRPr="00A1698A">
              <w:rPr>
                <w:rFonts w:asciiTheme="majorHAnsi" w:eastAsia="Times New Roman" w:hAnsiTheme="majorHAnsi" w:cstheme="majorHAnsi"/>
                <w:sz w:val="18"/>
                <w:szCs w:val="18"/>
                <w:lang w:eastAsia="fi-FI"/>
              </w:rPr>
              <w:t>29</w:t>
            </w:r>
          </w:p>
        </w:tc>
        <w:tc>
          <w:tcPr>
            <w:tcW w:w="844" w:type="dxa"/>
            <w:noWrap/>
            <w:hideMark/>
          </w:tcPr>
          <w:p w14:paraId="6FDD6BF6" w14:textId="68D46714" w:rsidR="00A1698A" w:rsidRPr="00A1698A" w:rsidRDefault="00A1698A" w:rsidP="00D91F63">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fi-FI"/>
              </w:rPr>
            </w:pPr>
            <w:r w:rsidRPr="00A1698A">
              <w:rPr>
                <w:rFonts w:asciiTheme="majorHAnsi" w:eastAsia="Times New Roman" w:hAnsiTheme="majorHAnsi" w:cstheme="majorHAnsi"/>
                <w:sz w:val="18"/>
                <w:szCs w:val="18"/>
                <w:lang w:eastAsia="fi-FI"/>
              </w:rPr>
              <w:t>-</w:t>
            </w:r>
          </w:p>
        </w:tc>
        <w:tc>
          <w:tcPr>
            <w:tcW w:w="743" w:type="dxa"/>
            <w:noWrap/>
            <w:hideMark/>
          </w:tcPr>
          <w:p w14:paraId="1C83B48E" w14:textId="451FEBB8" w:rsidR="00A1698A" w:rsidRPr="00A1698A" w:rsidRDefault="00A1698A" w:rsidP="00D91F63">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fi-FI"/>
              </w:rPr>
            </w:pPr>
            <w:r w:rsidRPr="00A1698A">
              <w:rPr>
                <w:rFonts w:asciiTheme="majorHAnsi" w:eastAsia="Times New Roman" w:hAnsiTheme="majorHAnsi" w:cstheme="majorHAnsi"/>
                <w:sz w:val="18"/>
                <w:szCs w:val="18"/>
                <w:lang w:eastAsia="fi-FI"/>
              </w:rPr>
              <w:t>-</w:t>
            </w:r>
          </w:p>
        </w:tc>
        <w:tc>
          <w:tcPr>
            <w:tcW w:w="803" w:type="dxa"/>
            <w:noWrap/>
          </w:tcPr>
          <w:p w14:paraId="03B26C8E" w14:textId="730C156B" w:rsidR="00A1698A" w:rsidRPr="00A1698A" w:rsidRDefault="00A1698A" w:rsidP="00D91F63">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fi-FI"/>
              </w:rPr>
            </w:pPr>
            <w:r w:rsidRPr="00A1698A">
              <w:rPr>
                <w:rFonts w:asciiTheme="majorHAnsi" w:eastAsia="Times New Roman" w:hAnsiTheme="majorHAnsi" w:cstheme="majorHAnsi"/>
                <w:sz w:val="18"/>
                <w:szCs w:val="18"/>
                <w:lang w:eastAsia="fi-FI"/>
              </w:rPr>
              <w:t>9</w:t>
            </w:r>
          </w:p>
        </w:tc>
      </w:tr>
      <w:tr w:rsidR="00A1698A" w:rsidRPr="001C2EBE" w14:paraId="15FC4DE5" w14:textId="77777777" w:rsidTr="00497C89">
        <w:trPr>
          <w:trHeight w:val="303"/>
        </w:trPr>
        <w:tc>
          <w:tcPr>
            <w:cnfStyle w:val="001000000000" w:firstRow="0" w:lastRow="0" w:firstColumn="1" w:lastColumn="0" w:oddVBand="0" w:evenVBand="0" w:oddHBand="0" w:evenHBand="0" w:firstRowFirstColumn="0" w:firstRowLastColumn="0" w:lastRowFirstColumn="0" w:lastRowLastColumn="0"/>
            <w:tcW w:w="3600" w:type="dxa"/>
            <w:noWrap/>
            <w:hideMark/>
          </w:tcPr>
          <w:p w14:paraId="7C5EC907" w14:textId="77777777" w:rsidR="00A1698A" w:rsidRPr="0094046D" w:rsidRDefault="00A1698A" w:rsidP="00A1698A">
            <w:pPr>
              <w:rPr>
                <w:rFonts w:asciiTheme="majorHAnsi" w:eastAsia="Times New Roman" w:hAnsiTheme="majorHAnsi" w:cstheme="majorHAnsi"/>
                <w:sz w:val="18"/>
                <w:szCs w:val="18"/>
                <w:lang w:eastAsia="fi-FI"/>
              </w:rPr>
            </w:pPr>
            <w:r w:rsidRPr="0094046D">
              <w:rPr>
                <w:rFonts w:asciiTheme="majorHAnsi" w:eastAsia="Times New Roman" w:hAnsiTheme="majorHAnsi" w:cstheme="majorHAnsi"/>
                <w:sz w:val="18"/>
                <w:szCs w:val="18"/>
                <w:lang w:eastAsia="fi-FI"/>
              </w:rPr>
              <w:t>TJ palkkioiden kehitys,</w:t>
            </w:r>
          </w:p>
          <w:p w14:paraId="338274C2" w14:textId="77CFDD04" w:rsidR="00A1698A" w:rsidRPr="0094046D" w:rsidRDefault="00A1698A" w:rsidP="00A1698A">
            <w:pPr>
              <w:rPr>
                <w:rFonts w:asciiTheme="majorHAnsi" w:eastAsia="Times New Roman" w:hAnsiTheme="majorHAnsi" w:cstheme="majorHAnsi"/>
                <w:sz w:val="18"/>
                <w:szCs w:val="18"/>
                <w:lang w:eastAsia="fi-FI"/>
              </w:rPr>
            </w:pPr>
            <w:r w:rsidRPr="0094046D">
              <w:rPr>
                <w:rFonts w:asciiTheme="majorHAnsi" w:eastAsia="Times New Roman" w:hAnsiTheme="majorHAnsi" w:cstheme="majorHAnsi"/>
                <w:sz w:val="18"/>
                <w:szCs w:val="18"/>
                <w:lang w:eastAsia="fi-FI"/>
              </w:rPr>
              <w:t>Simo Saastamoinen</w:t>
            </w:r>
          </w:p>
        </w:tc>
        <w:tc>
          <w:tcPr>
            <w:tcW w:w="0" w:type="auto"/>
            <w:noWrap/>
            <w:hideMark/>
          </w:tcPr>
          <w:p w14:paraId="2EC5FB7D" w14:textId="1A6155DF" w:rsidR="00A1698A" w:rsidRPr="00A1698A" w:rsidRDefault="00A1698A" w:rsidP="00D91F63">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fi-FI"/>
              </w:rPr>
            </w:pPr>
            <w:r w:rsidRPr="00A1698A">
              <w:rPr>
                <w:rFonts w:asciiTheme="majorHAnsi" w:eastAsia="Times New Roman" w:hAnsiTheme="majorHAnsi" w:cstheme="majorHAnsi"/>
                <w:sz w:val="18"/>
                <w:szCs w:val="18"/>
                <w:lang w:eastAsia="fi-FI"/>
              </w:rPr>
              <w:t>-8</w:t>
            </w:r>
            <w:r w:rsidR="00A50B4D">
              <w:rPr>
                <w:rFonts w:asciiTheme="majorHAnsi" w:eastAsia="Times New Roman" w:hAnsiTheme="majorHAnsi" w:cstheme="majorHAnsi"/>
                <w:sz w:val="18"/>
                <w:szCs w:val="18"/>
                <w:lang w:eastAsia="fi-FI"/>
              </w:rPr>
              <w:t>,1</w:t>
            </w:r>
            <w:r w:rsidRPr="00A1698A">
              <w:rPr>
                <w:rFonts w:asciiTheme="majorHAnsi" w:eastAsia="Times New Roman" w:hAnsiTheme="majorHAnsi" w:cstheme="majorHAnsi"/>
                <w:sz w:val="18"/>
                <w:szCs w:val="18"/>
                <w:lang w:eastAsia="fi-FI"/>
              </w:rPr>
              <w:t xml:space="preserve"> %</w:t>
            </w:r>
          </w:p>
        </w:tc>
        <w:tc>
          <w:tcPr>
            <w:tcW w:w="877" w:type="dxa"/>
            <w:noWrap/>
            <w:hideMark/>
          </w:tcPr>
          <w:p w14:paraId="7C4DA90C" w14:textId="4BE0A1E4" w:rsidR="00A1698A" w:rsidRPr="00A1698A" w:rsidRDefault="00A1698A" w:rsidP="00D91F63">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fi-FI"/>
              </w:rPr>
            </w:pPr>
            <w:r w:rsidRPr="00A1698A">
              <w:rPr>
                <w:rFonts w:asciiTheme="majorHAnsi" w:eastAsia="Times New Roman" w:hAnsiTheme="majorHAnsi" w:cstheme="majorHAnsi"/>
                <w:sz w:val="18"/>
                <w:szCs w:val="18"/>
                <w:lang w:eastAsia="fi-FI"/>
              </w:rPr>
              <w:t>1</w:t>
            </w:r>
            <w:r w:rsidR="00A50B4D">
              <w:rPr>
                <w:rFonts w:asciiTheme="majorHAnsi" w:eastAsia="Times New Roman" w:hAnsiTheme="majorHAnsi" w:cstheme="majorHAnsi"/>
                <w:sz w:val="18"/>
                <w:szCs w:val="18"/>
                <w:lang w:eastAsia="fi-FI"/>
              </w:rPr>
              <w:t>0,6</w:t>
            </w:r>
            <w:r w:rsidRPr="00A1698A">
              <w:rPr>
                <w:rFonts w:asciiTheme="majorHAnsi" w:eastAsia="Times New Roman" w:hAnsiTheme="majorHAnsi" w:cstheme="majorHAnsi"/>
                <w:sz w:val="18"/>
                <w:szCs w:val="18"/>
                <w:lang w:eastAsia="fi-FI"/>
              </w:rPr>
              <w:t xml:space="preserve"> %</w:t>
            </w:r>
          </w:p>
        </w:tc>
        <w:tc>
          <w:tcPr>
            <w:tcW w:w="844" w:type="dxa"/>
            <w:noWrap/>
            <w:hideMark/>
          </w:tcPr>
          <w:p w14:paraId="4A5B2BDE" w14:textId="7DAF9E91" w:rsidR="00A1698A" w:rsidRPr="00A1698A" w:rsidRDefault="00A1698A" w:rsidP="00D91F63">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fi-FI"/>
              </w:rPr>
            </w:pPr>
            <w:r w:rsidRPr="00A1698A">
              <w:rPr>
                <w:rFonts w:asciiTheme="majorHAnsi" w:eastAsia="Times New Roman" w:hAnsiTheme="majorHAnsi" w:cstheme="majorHAnsi"/>
                <w:sz w:val="18"/>
                <w:szCs w:val="18"/>
                <w:lang w:eastAsia="fi-FI"/>
              </w:rPr>
              <w:t>-11</w:t>
            </w:r>
            <w:r w:rsidR="00A50B4D">
              <w:rPr>
                <w:rFonts w:asciiTheme="majorHAnsi" w:eastAsia="Times New Roman" w:hAnsiTheme="majorHAnsi" w:cstheme="majorHAnsi"/>
                <w:sz w:val="18"/>
                <w:szCs w:val="18"/>
                <w:lang w:eastAsia="fi-FI"/>
              </w:rPr>
              <w:t>,0</w:t>
            </w:r>
            <w:r w:rsidRPr="00A1698A">
              <w:rPr>
                <w:rFonts w:asciiTheme="majorHAnsi" w:eastAsia="Times New Roman" w:hAnsiTheme="majorHAnsi" w:cstheme="majorHAnsi"/>
                <w:sz w:val="18"/>
                <w:szCs w:val="18"/>
                <w:lang w:eastAsia="fi-FI"/>
              </w:rPr>
              <w:t xml:space="preserve"> %</w:t>
            </w:r>
          </w:p>
        </w:tc>
        <w:tc>
          <w:tcPr>
            <w:tcW w:w="743" w:type="dxa"/>
            <w:noWrap/>
            <w:hideMark/>
          </w:tcPr>
          <w:p w14:paraId="26AEBCE4" w14:textId="24D51B9F" w:rsidR="00A1698A" w:rsidRPr="00A1698A" w:rsidRDefault="00A1698A" w:rsidP="00D91F63">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fi-FI"/>
              </w:rPr>
            </w:pPr>
            <w:r w:rsidRPr="00A1698A">
              <w:rPr>
                <w:rFonts w:asciiTheme="majorHAnsi" w:eastAsia="Times New Roman" w:hAnsiTheme="majorHAnsi" w:cstheme="majorHAnsi"/>
                <w:sz w:val="18"/>
                <w:szCs w:val="18"/>
                <w:lang w:eastAsia="fi-FI"/>
              </w:rPr>
              <w:t>-</w:t>
            </w:r>
            <w:r w:rsidR="00A50B4D">
              <w:rPr>
                <w:rFonts w:asciiTheme="majorHAnsi" w:eastAsia="Times New Roman" w:hAnsiTheme="majorHAnsi" w:cstheme="majorHAnsi"/>
                <w:sz w:val="18"/>
                <w:szCs w:val="18"/>
                <w:lang w:eastAsia="fi-FI"/>
              </w:rPr>
              <w:t>3,6</w:t>
            </w:r>
            <w:r w:rsidRPr="00A1698A">
              <w:rPr>
                <w:rFonts w:asciiTheme="majorHAnsi" w:eastAsia="Times New Roman" w:hAnsiTheme="majorHAnsi" w:cstheme="majorHAnsi"/>
                <w:sz w:val="18"/>
                <w:szCs w:val="18"/>
                <w:lang w:eastAsia="fi-FI"/>
              </w:rPr>
              <w:t xml:space="preserve"> %</w:t>
            </w:r>
          </w:p>
        </w:tc>
        <w:tc>
          <w:tcPr>
            <w:tcW w:w="803" w:type="dxa"/>
            <w:noWrap/>
          </w:tcPr>
          <w:p w14:paraId="1891371F" w14:textId="4A02042F" w:rsidR="00A1698A" w:rsidRPr="00A1698A" w:rsidRDefault="00A50B4D" w:rsidP="00D91F63">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fi-FI"/>
              </w:rPr>
            </w:pPr>
            <w:r>
              <w:rPr>
                <w:rFonts w:asciiTheme="majorHAnsi" w:eastAsia="Times New Roman" w:hAnsiTheme="majorHAnsi" w:cstheme="majorHAnsi"/>
                <w:sz w:val="18"/>
                <w:szCs w:val="18"/>
                <w:lang w:eastAsia="fi-FI"/>
              </w:rPr>
              <w:t>7,</w:t>
            </w:r>
            <w:r w:rsidR="00A1698A" w:rsidRPr="00A1698A">
              <w:rPr>
                <w:rFonts w:asciiTheme="majorHAnsi" w:eastAsia="Times New Roman" w:hAnsiTheme="majorHAnsi" w:cstheme="majorHAnsi"/>
                <w:sz w:val="18"/>
                <w:szCs w:val="18"/>
                <w:lang w:eastAsia="fi-FI"/>
              </w:rPr>
              <w:t>8 %</w:t>
            </w:r>
          </w:p>
        </w:tc>
      </w:tr>
      <w:tr w:rsidR="00A1698A" w:rsidRPr="001C2EBE" w14:paraId="50CC4F50" w14:textId="77777777" w:rsidTr="00497C89">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3600" w:type="dxa"/>
            <w:noWrap/>
            <w:hideMark/>
          </w:tcPr>
          <w:p w14:paraId="0B45156C" w14:textId="32A15F12" w:rsidR="00A1698A" w:rsidRPr="0094046D" w:rsidRDefault="00A1698A" w:rsidP="00A1698A">
            <w:pPr>
              <w:rPr>
                <w:rFonts w:asciiTheme="majorHAnsi" w:eastAsia="Times New Roman" w:hAnsiTheme="majorHAnsi" w:cstheme="majorHAnsi"/>
                <w:sz w:val="18"/>
                <w:szCs w:val="18"/>
                <w:lang w:eastAsia="fi-FI"/>
              </w:rPr>
            </w:pPr>
            <w:r w:rsidRPr="0094046D">
              <w:rPr>
                <w:rFonts w:asciiTheme="majorHAnsi" w:eastAsia="Times New Roman" w:hAnsiTheme="majorHAnsi" w:cstheme="majorHAnsi"/>
                <w:sz w:val="18"/>
                <w:szCs w:val="18"/>
                <w:lang w:eastAsia="fi-FI"/>
              </w:rPr>
              <w:t>Muut TJ palkkiot*, t€</w:t>
            </w:r>
          </w:p>
        </w:tc>
        <w:tc>
          <w:tcPr>
            <w:tcW w:w="0" w:type="auto"/>
            <w:noWrap/>
            <w:hideMark/>
          </w:tcPr>
          <w:p w14:paraId="745391CB" w14:textId="298C42B6" w:rsidR="00A1698A" w:rsidRPr="00A1698A" w:rsidRDefault="00A1698A" w:rsidP="00D91F63">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fi-FI"/>
              </w:rPr>
            </w:pPr>
            <w:r w:rsidRPr="00A1698A">
              <w:rPr>
                <w:rFonts w:asciiTheme="majorHAnsi" w:eastAsia="Times New Roman" w:hAnsiTheme="majorHAnsi" w:cstheme="majorHAnsi"/>
                <w:sz w:val="18"/>
                <w:szCs w:val="18"/>
                <w:lang w:eastAsia="fi-FI"/>
              </w:rPr>
              <w:t>112</w:t>
            </w:r>
          </w:p>
        </w:tc>
        <w:tc>
          <w:tcPr>
            <w:tcW w:w="877" w:type="dxa"/>
            <w:noWrap/>
            <w:hideMark/>
          </w:tcPr>
          <w:p w14:paraId="450D167A" w14:textId="534A8AF0" w:rsidR="00A1698A" w:rsidRPr="00A1698A" w:rsidRDefault="00A1698A" w:rsidP="00D91F63">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fi-FI"/>
              </w:rPr>
            </w:pPr>
            <w:r w:rsidRPr="00A1698A">
              <w:rPr>
                <w:rFonts w:asciiTheme="majorHAnsi" w:eastAsia="Times New Roman" w:hAnsiTheme="majorHAnsi" w:cstheme="majorHAnsi"/>
                <w:sz w:val="18"/>
                <w:szCs w:val="18"/>
                <w:lang w:eastAsia="fi-FI"/>
              </w:rPr>
              <w:t>-</w:t>
            </w:r>
          </w:p>
        </w:tc>
        <w:tc>
          <w:tcPr>
            <w:tcW w:w="844" w:type="dxa"/>
            <w:noWrap/>
            <w:hideMark/>
          </w:tcPr>
          <w:p w14:paraId="2224185E" w14:textId="21967E6B" w:rsidR="00A1698A" w:rsidRPr="00A1698A" w:rsidRDefault="00A1698A" w:rsidP="00D91F63">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fi-FI"/>
              </w:rPr>
            </w:pPr>
            <w:r w:rsidRPr="00A1698A">
              <w:rPr>
                <w:rFonts w:asciiTheme="majorHAnsi" w:eastAsia="Times New Roman" w:hAnsiTheme="majorHAnsi" w:cstheme="majorHAnsi"/>
                <w:sz w:val="18"/>
                <w:szCs w:val="18"/>
                <w:lang w:eastAsia="fi-FI"/>
              </w:rPr>
              <w:t>-</w:t>
            </w:r>
          </w:p>
        </w:tc>
        <w:tc>
          <w:tcPr>
            <w:tcW w:w="743" w:type="dxa"/>
            <w:noWrap/>
            <w:hideMark/>
          </w:tcPr>
          <w:p w14:paraId="5DC7A404" w14:textId="39082F4F" w:rsidR="00A1698A" w:rsidRPr="00A1698A" w:rsidRDefault="00A1698A" w:rsidP="00D91F63">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fi-FI"/>
              </w:rPr>
            </w:pPr>
            <w:r w:rsidRPr="00A1698A">
              <w:rPr>
                <w:rFonts w:asciiTheme="majorHAnsi" w:eastAsia="Times New Roman" w:hAnsiTheme="majorHAnsi" w:cstheme="majorHAnsi"/>
                <w:sz w:val="18"/>
                <w:szCs w:val="18"/>
                <w:lang w:eastAsia="fi-FI"/>
              </w:rPr>
              <w:t>-</w:t>
            </w:r>
          </w:p>
        </w:tc>
        <w:tc>
          <w:tcPr>
            <w:tcW w:w="803" w:type="dxa"/>
            <w:noWrap/>
          </w:tcPr>
          <w:p w14:paraId="4EEC0D70" w14:textId="59E5A56B" w:rsidR="00A1698A" w:rsidRPr="00A1698A" w:rsidRDefault="00A1698A" w:rsidP="00D91F63">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fi-FI"/>
              </w:rPr>
            </w:pPr>
            <w:r w:rsidRPr="00A1698A">
              <w:rPr>
                <w:rFonts w:asciiTheme="majorHAnsi" w:eastAsia="Times New Roman" w:hAnsiTheme="majorHAnsi" w:cstheme="majorHAnsi"/>
                <w:sz w:val="18"/>
                <w:szCs w:val="18"/>
                <w:lang w:eastAsia="fi-FI"/>
              </w:rPr>
              <w:t>-</w:t>
            </w:r>
          </w:p>
        </w:tc>
      </w:tr>
      <w:tr w:rsidR="00A1698A" w:rsidRPr="001C2EBE" w14:paraId="227A1DE3" w14:textId="77777777" w:rsidTr="00497C89">
        <w:trPr>
          <w:trHeight w:val="303"/>
        </w:trPr>
        <w:tc>
          <w:tcPr>
            <w:cnfStyle w:val="001000000000" w:firstRow="0" w:lastRow="0" w:firstColumn="1" w:lastColumn="0" w:oddVBand="0" w:evenVBand="0" w:oddHBand="0" w:evenHBand="0" w:firstRowFirstColumn="0" w:firstRowLastColumn="0" w:lastRowFirstColumn="0" w:lastRowLastColumn="0"/>
            <w:tcW w:w="3600" w:type="dxa"/>
            <w:noWrap/>
            <w:hideMark/>
          </w:tcPr>
          <w:p w14:paraId="490B90CB" w14:textId="36565BBF" w:rsidR="00A1698A" w:rsidRPr="0094046D" w:rsidRDefault="00A1698A" w:rsidP="00A1698A">
            <w:pPr>
              <w:rPr>
                <w:rFonts w:asciiTheme="majorHAnsi" w:eastAsia="Times New Roman" w:hAnsiTheme="majorHAnsi" w:cstheme="majorHAnsi"/>
                <w:sz w:val="18"/>
                <w:szCs w:val="18"/>
                <w:lang w:eastAsia="fi-FI"/>
              </w:rPr>
            </w:pPr>
            <w:r w:rsidRPr="0094046D">
              <w:rPr>
                <w:rFonts w:asciiTheme="majorHAnsi" w:eastAsia="Times New Roman" w:hAnsiTheme="majorHAnsi" w:cstheme="majorHAnsi"/>
                <w:sz w:val="18"/>
                <w:szCs w:val="18"/>
                <w:lang w:eastAsia="fi-FI"/>
              </w:rPr>
              <w:t>Konsernin TJ palkkiot yhteensä, t€</w:t>
            </w:r>
          </w:p>
        </w:tc>
        <w:tc>
          <w:tcPr>
            <w:tcW w:w="0" w:type="auto"/>
            <w:noWrap/>
            <w:hideMark/>
          </w:tcPr>
          <w:p w14:paraId="5BBEA8B1" w14:textId="7FA71ED2" w:rsidR="00A1698A" w:rsidRPr="00A1698A" w:rsidRDefault="00A1698A" w:rsidP="00D91F63">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fi-FI"/>
              </w:rPr>
            </w:pPr>
            <w:r w:rsidRPr="00A1698A">
              <w:rPr>
                <w:rFonts w:asciiTheme="majorHAnsi" w:eastAsia="Times New Roman" w:hAnsiTheme="majorHAnsi" w:cstheme="majorHAnsi"/>
                <w:sz w:val="18"/>
                <w:szCs w:val="18"/>
                <w:lang w:eastAsia="fi-FI"/>
              </w:rPr>
              <w:t>339</w:t>
            </w:r>
          </w:p>
        </w:tc>
        <w:tc>
          <w:tcPr>
            <w:tcW w:w="877" w:type="dxa"/>
            <w:noWrap/>
            <w:hideMark/>
          </w:tcPr>
          <w:p w14:paraId="3C5A6C30" w14:textId="0F6E70CD" w:rsidR="00A1698A" w:rsidRPr="00A1698A" w:rsidRDefault="00A1698A" w:rsidP="00D91F63">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fi-FI"/>
              </w:rPr>
            </w:pPr>
            <w:r w:rsidRPr="00A1698A">
              <w:rPr>
                <w:rFonts w:asciiTheme="majorHAnsi" w:eastAsia="Times New Roman" w:hAnsiTheme="majorHAnsi" w:cstheme="majorHAnsi"/>
                <w:sz w:val="18"/>
                <w:szCs w:val="18"/>
                <w:lang w:eastAsia="fi-FI"/>
              </w:rPr>
              <w:t>251</w:t>
            </w:r>
          </w:p>
        </w:tc>
        <w:tc>
          <w:tcPr>
            <w:tcW w:w="844" w:type="dxa"/>
            <w:noWrap/>
            <w:hideMark/>
          </w:tcPr>
          <w:p w14:paraId="73F537C3" w14:textId="25278975" w:rsidR="00A1698A" w:rsidRPr="00A1698A" w:rsidRDefault="00A1698A" w:rsidP="00D91F63">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fi-FI"/>
              </w:rPr>
            </w:pPr>
            <w:r w:rsidRPr="00A1698A">
              <w:rPr>
                <w:rFonts w:asciiTheme="majorHAnsi" w:eastAsia="Times New Roman" w:hAnsiTheme="majorHAnsi" w:cstheme="majorHAnsi"/>
                <w:sz w:val="18"/>
                <w:szCs w:val="18"/>
                <w:lang w:eastAsia="fi-FI"/>
              </w:rPr>
              <w:t>223</w:t>
            </w:r>
          </w:p>
        </w:tc>
        <w:tc>
          <w:tcPr>
            <w:tcW w:w="743" w:type="dxa"/>
            <w:noWrap/>
            <w:hideMark/>
          </w:tcPr>
          <w:p w14:paraId="21693B3D" w14:textId="0613C3DE" w:rsidR="00A1698A" w:rsidRPr="00A1698A" w:rsidRDefault="00A1698A" w:rsidP="00D91F63">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fi-FI"/>
              </w:rPr>
            </w:pPr>
            <w:r w:rsidRPr="00A1698A">
              <w:rPr>
                <w:rFonts w:asciiTheme="majorHAnsi" w:eastAsia="Times New Roman" w:hAnsiTheme="majorHAnsi" w:cstheme="majorHAnsi"/>
                <w:sz w:val="18"/>
                <w:szCs w:val="18"/>
                <w:lang w:eastAsia="fi-FI"/>
              </w:rPr>
              <w:t>215</w:t>
            </w:r>
          </w:p>
        </w:tc>
        <w:tc>
          <w:tcPr>
            <w:tcW w:w="803" w:type="dxa"/>
            <w:noWrap/>
          </w:tcPr>
          <w:p w14:paraId="5D124F53" w14:textId="78DBA5DC" w:rsidR="00A1698A" w:rsidRPr="00A1698A" w:rsidRDefault="00A1698A" w:rsidP="00D91F63">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fi-FI"/>
              </w:rPr>
            </w:pPr>
            <w:r w:rsidRPr="00A1698A">
              <w:rPr>
                <w:rFonts w:asciiTheme="majorHAnsi" w:eastAsia="Times New Roman" w:hAnsiTheme="majorHAnsi" w:cstheme="majorHAnsi"/>
                <w:sz w:val="18"/>
                <w:szCs w:val="18"/>
                <w:lang w:eastAsia="fi-FI"/>
              </w:rPr>
              <w:t>232</w:t>
            </w:r>
          </w:p>
        </w:tc>
      </w:tr>
      <w:tr w:rsidR="00A1698A" w:rsidRPr="001C2EBE" w14:paraId="37E5D97C" w14:textId="77777777" w:rsidTr="00497C89">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3600" w:type="dxa"/>
            <w:noWrap/>
            <w:hideMark/>
          </w:tcPr>
          <w:p w14:paraId="41D9552C" w14:textId="1BDD0944" w:rsidR="00A1698A" w:rsidRPr="0094046D" w:rsidRDefault="00F42962" w:rsidP="00A1698A">
            <w:pPr>
              <w:rPr>
                <w:rFonts w:asciiTheme="majorHAnsi" w:eastAsia="Times New Roman" w:hAnsiTheme="majorHAnsi" w:cstheme="majorHAnsi"/>
                <w:sz w:val="18"/>
                <w:szCs w:val="18"/>
                <w:lang w:eastAsia="fi-FI"/>
              </w:rPr>
            </w:pPr>
            <w:r>
              <w:rPr>
                <w:rFonts w:asciiTheme="majorHAnsi" w:eastAsia="Times New Roman" w:hAnsiTheme="majorHAnsi" w:cstheme="majorHAnsi"/>
                <w:sz w:val="18"/>
                <w:szCs w:val="18"/>
                <w:lang w:eastAsia="fi-FI"/>
              </w:rPr>
              <w:t>Henkilöstön</w:t>
            </w:r>
            <w:r w:rsidR="00A1698A" w:rsidRPr="0094046D">
              <w:rPr>
                <w:rFonts w:asciiTheme="majorHAnsi" w:eastAsia="Times New Roman" w:hAnsiTheme="majorHAnsi" w:cstheme="majorHAnsi"/>
                <w:sz w:val="18"/>
                <w:szCs w:val="18"/>
                <w:lang w:eastAsia="fi-FI"/>
              </w:rPr>
              <w:t xml:space="preserve"> palkat ja palkkiot, t€</w:t>
            </w:r>
          </w:p>
        </w:tc>
        <w:tc>
          <w:tcPr>
            <w:tcW w:w="0" w:type="auto"/>
            <w:noWrap/>
            <w:hideMark/>
          </w:tcPr>
          <w:p w14:paraId="49A54C4E" w14:textId="2640D99C" w:rsidR="00A1698A" w:rsidRPr="00A1698A" w:rsidRDefault="00A1698A" w:rsidP="00D91F63">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fi-FI"/>
              </w:rPr>
            </w:pPr>
            <w:r w:rsidRPr="00A1698A">
              <w:rPr>
                <w:rFonts w:asciiTheme="majorHAnsi" w:eastAsia="Times New Roman" w:hAnsiTheme="majorHAnsi" w:cstheme="majorHAnsi"/>
                <w:sz w:val="18"/>
                <w:szCs w:val="18"/>
                <w:lang w:eastAsia="fi-FI"/>
              </w:rPr>
              <w:t>9 599</w:t>
            </w:r>
          </w:p>
        </w:tc>
        <w:tc>
          <w:tcPr>
            <w:tcW w:w="877" w:type="dxa"/>
            <w:noWrap/>
            <w:hideMark/>
          </w:tcPr>
          <w:p w14:paraId="656D2593" w14:textId="266CB8A1" w:rsidR="00A1698A" w:rsidRPr="00A1698A" w:rsidRDefault="00A1698A" w:rsidP="00D91F63">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fi-FI"/>
              </w:rPr>
            </w:pPr>
            <w:r w:rsidRPr="00A1698A">
              <w:rPr>
                <w:rFonts w:asciiTheme="majorHAnsi" w:eastAsia="Times New Roman" w:hAnsiTheme="majorHAnsi" w:cstheme="majorHAnsi"/>
                <w:sz w:val="18"/>
                <w:szCs w:val="18"/>
                <w:lang w:eastAsia="fi-FI"/>
              </w:rPr>
              <w:t>9 464</w:t>
            </w:r>
          </w:p>
        </w:tc>
        <w:tc>
          <w:tcPr>
            <w:tcW w:w="844" w:type="dxa"/>
            <w:noWrap/>
            <w:hideMark/>
          </w:tcPr>
          <w:p w14:paraId="27475F0E" w14:textId="277D645E" w:rsidR="00A1698A" w:rsidRPr="00A1698A" w:rsidRDefault="00A1698A" w:rsidP="00D91F63">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fi-FI"/>
              </w:rPr>
            </w:pPr>
            <w:r w:rsidRPr="00A1698A">
              <w:rPr>
                <w:rFonts w:asciiTheme="majorHAnsi" w:eastAsia="Times New Roman" w:hAnsiTheme="majorHAnsi" w:cstheme="majorHAnsi"/>
                <w:sz w:val="18"/>
                <w:szCs w:val="18"/>
                <w:lang w:eastAsia="fi-FI"/>
              </w:rPr>
              <w:t>10 030</w:t>
            </w:r>
          </w:p>
        </w:tc>
        <w:tc>
          <w:tcPr>
            <w:tcW w:w="743" w:type="dxa"/>
            <w:noWrap/>
            <w:hideMark/>
          </w:tcPr>
          <w:p w14:paraId="78167014" w14:textId="21D46892" w:rsidR="00A1698A" w:rsidRPr="00A1698A" w:rsidRDefault="00A1698A" w:rsidP="00D91F63">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fi-FI"/>
              </w:rPr>
            </w:pPr>
            <w:r w:rsidRPr="00A1698A">
              <w:rPr>
                <w:rFonts w:asciiTheme="majorHAnsi" w:eastAsia="Times New Roman" w:hAnsiTheme="majorHAnsi" w:cstheme="majorHAnsi"/>
                <w:sz w:val="18"/>
                <w:szCs w:val="18"/>
                <w:lang w:eastAsia="fi-FI"/>
              </w:rPr>
              <w:t>9 096</w:t>
            </w:r>
          </w:p>
        </w:tc>
        <w:tc>
          <w:tcPr>
            <w:tcW w:w="803" w:type="dxa"/>
            <w:noWrap/>
          </w:tcPr>
          <w:p w14:paraId="0FD6A0DC" w14:textId="3F812658" w:rsidR="00A1698A" w:rsidRPr="003328B0" w:rsidRDefault="00221D98" w:rsidP="00D91F63">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fi-FI"/>
              </w:rPr>
            </w:pPr>
            <w:r w:rsidRPr="003328B0">
              <w:rPr>
                <w:rFonts w:asciiTheme="majorHAnsi" w:eastAsia="Times New Roman" w:hAnsiTheme="majorHAnsi" w:cstheme="majorHAnsi"/>
                <w:sz w:val="18"/>
                <w:szCs w:val="18"/>
                <w:lang w:eastAsia="fi-FI"/>
              </w:rPr>
              <w:t>10 000</w:t>
            </w:r>
          </w:p>
        </w:tc>
      </w:tr>
      <w:tr w:rsidR="00A1698A" w:rsidRPr="001C2EBE" w14:paraId="02115452" w14:textId="77777777" w:rsidTr="00497C89">
        <w:trPr>
          <w:trHeight w:val="303"/>
        </w:trPr>
        <w:tc>
          <w:tcPr>
            <w:cnfStyle w:val="001000000000" w:firstRow="0" w:lastRow="0" w:firstColumn="1" w:lastColumn="0" w:oddVBand="0" w:evenVBand="0" w:oddHBand="0" w:evenHBand="0" w:firstRowFirstColumn="0" w:firstRowLastColumn="0" w:lastRowFirstColumn="0" w:lastRowLastColumn="0"/>
            <w:tcW w:w="3600" w:type="dxa"/>
            <w:noWrap/>
            <w:hideMark/>
          </w:tcPr>
          <w:p w14:paraId="07D5416B" w14:textId="77777777" w:rsidR="00A1698A" w:rsidRPr="0094046D" w:rsidRDefault="00A1698A" w:rsidP="00A1698A">
            <w:pPr>
              <w:rPr>
                <w:rFonts w:asciiTheme="majorHAnsi" w:eastAsia="Times New Roman" w:hAnsiTheme="majorHAnsi" w:cstheme="majorHAnsi"/>
                <w:sz w:val="18"/>
                <w:szCs w:val="18"/>
                <w:lang w:eastAsia="fi-FI"/>
              </w:rPr>
            </w:pPr>
            <w:r w:rsidRPr="0094046D">
              <w:rPr>
                <w:rFonts w:asciiTheme="majorHAnsi" w:eastAsia="Times New Roman" w:hAnsiTheme="majorHAnsi" w:cstheme="majorHAnsi"/>
                <w:sz w:val="18"/>
                <w:szCs w:val="18"/>
                <w:lang w:eastAsia="fi-FI"/>
              </w:rPr>
              <w:t>Henkilöstön määrä km</w:t>
            </w:r>
          </w:p>
        </w:tc>
        <w:tc>
          <w:tcPr>
            <w:tcW w:w="0" w:type="auto"/>
            <w:noWrap/>
            <w:hideMark/>
          </w:tcPr>
          <w:p w14:paraId="1B3B5168" w14:textId="12A5F513" w:rsidR="00A1698A" w:rsidRPr="00A1698A" w:rsidRDefault="00A1698A" w:rsidP="00D91F63">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fi-FI"/>
              </w:rPr>
            </w:pPr>
            <w:r w:rsidRPr="00A1698A">
              <w:rPr>
                <w:rFonts w:asciiTheme="majorHAnsi" w:eastAsia="Times New Roman" w:hAnsiTheme="majorHAnsi" w:cstheme="majorHAnsi"/>
                <w:sz w:val="18"/>
                <w:szCs w:val="18"/>
                <w:lang w:eastAsia="fi-FI"/>
              </w:rPr>
              <w:t>260</w:t>
            </w:r>
          </w:p>
        </w:tc>
        <w:tc>
          <w:tcPr>
            <w:tcW w:w="877" w:type="dxa"/>
            <w:noWrap/>
            <w:hideMark/>
          </w:tcPr>
          <w:p w14:paraId="4DAECAB6" w14:textId="351C03E0" w:rsidR="00A1698A" w:rsidRPr="00A1698A" w:rsidRDefault="00A1698A" w:rsidP="00D91F63">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fi-FI"/>
              </w:rPr>
            </w:pPr>
            <w:r w:rsidRPr="00A1698A">
              <w:rPr>
                <w:rFonts w:asciiTheme="majorHAnsi" w:eastAsia="Times New Roman" w:hAnsiTheme="majorHAnsi" w:cstheme="majorHAnsi"/>
                <w:sz w:val="18"/>
                <w:szCs w:val="18"/>
                <w:lang w:eastAsia="fi-FI"/>
              </w:rPr>
              <w:t>243</w:t>
            </w:r>
          </w:p>
        </w:tc>
        <w:tc>
          <w:tcPr>
            <w:tcW w:w="844" w:type="dxa"/>
            <w:noWrap/>
            <w:hideMark/>
          </w:tcPr>
          <w:p w14:paraId="45A39058" w14:textId="7B209FA2" w:rsidR="00A1698A" w:rsidRPr="00A1698A" w:rsidRDefault="00A1698A" w:rsidP="00D91F63">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fi-FI"/>
              </w:rPr>
            </w:pPr>
            <w:r w:rsidRPr="00A1698A">
              <w:rPr>
                <w:rFonts w:asciiTheme="majorHAnsi" w:eastAsia="Times New Roman" w:hAnsiTheme="majorHAnsi" w:cstheme="majorHAnsi"/>
                <w:sz w:val="18"/>
                <w:szCs w:val="18"/>
                <w:lang w:eastAsia="fi-FI"/>
              </w:rPr>
              <w:t>247</w:t>
            </w:r>
          </w:p>
        </w:tc>
        <w:tc>
          <w:tcPr>
            <w:tcW w:w="743" w:type="dxa"/>
            <w:noWrap/>
            <w:hideMark/>
          </w:tcPr>
          <w:p w14:paraId="2EE54CD9" w14:textId="64937C47" w:rsidR="00A1698A" w:rsidRPr="00A1698A" w:rsidRDefault="00A1698A" w:rsidP="00D91F63">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fi-FI"/>
              </w:rPr>
            </w:pPr>
            <w:r w:rsidRPr="00A1698A">
              <w:rPr>
                <w:rFonts w:asciiTheme="majorHAnsi" w:eastAsia="Times New Roman" w:hAnsiTheme="majorHAnsi" w:cstheme="majorHAnsi"/>
                <w:sz w:val="18"/>
                <w:szCs w:val="18"/>
                <w:lang w:eastAsia="fi-FI"/>
              </w:rPr>
              <w:t>220</w:t>
            </w:r>
          </w:p>
        </w:tc>
        <w:tc>
          <w:tcPr>
            <w:tcW w:w="803" w:type="dxa"/>
            <w:noWrap/>
          </w:tcPr>
          <w:p w14:paraId="2DC1E23F" w14:textId="06BDA65B" w:rsidR="00A1698A" w:rsidRPr="003328B0" w:rsidRDefault="00221D98" w:rsidP="00D91F63">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fi-FI"/>
              </w:rPr>
            </w:pPr>
            <w:r w:rsidRPr="003328B0">
              <w:rPr>
                <w:rFonts w:asciiTheme="majorHAnsi" w:eastAsia="Times New Roman" w:hAnsiTheme="majorHAnsi" w:cstheme="majorHAnsi"/>
                <w:sz w:val="18"/>
                <w:szCs w:val="18"/>
                <w:lang w:eastAsia="fi-FI"/>
              </w:rPr>
              <w:t>246</w:t>
            </w:r>
          </w:p>
        </w:tc>
      </w:tr>
      <w:tr w:rsidR="00A1698A" w:rsidRPr="001C2EBE" w14:paraId="4D8D064E" w14:textId="77777777" w:rsidTr="00497C89">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3600" w:type="dxa"/>
            <w:noWrap/>
            <w:hideMark/>
          </w:tcPr>
          <w:p w14:paraId="6DDC8190" w14:textId="2F887565" w:rsidR="00A1698A" w:rsidRPr="0094046D" w:rsidRDefault="00A1698A" w:rsidP="00A1698A">
            <w:pPr>
              <w:rPr>
                <w:rFonts w:asciiTheme="majorHAnsi" w:eastAsia="Times New Roman" w:hAnsiTheme="majorHAnsi" w:cstheme="majorHAnsi"/>
                <w:sz w:val="18"/>
                <w:szCs w:val="18"/>
                <w:lang w:eastAsia="fi-FI"/>
              </w:rPr>
            </w:pPr>
            <w:r w:rsidRPr="0094046D">
              <w:rPr>
                <w:rFonts w:asciiTheme="majorHAnsi" w:eastAsia="Times New Roman" w:hAnsiTheme="majorHAnsi" w:cstheme="majorHAnsi"/>
                <w:sz w:val="18"/>
                <w:szCs w:val="18"/>
                <w:lang w:eastAsia="fi-FI"/>
              </w:rPr>
              <w:t>Henkilöstön keskipalkka t€/hlö/vuosi**</w:t>
            </w:r>
          </w:p>
        </w:tc>
        <w:tc>
          <w:tcPr>
            <w:tcW w:w="0" w:type="auto"/>
            <w:noWrap/>
            <w:hideMark/>
          </w:tcPr>
          <w:p w14:paraId="3F635EDC" w14:textId="1361CF1C" w:rsidR="00A1698A" w:rsidRPr="005F5630" w:rsidRDefault="00A1698A" w:rsidP="00D91F63">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fi-FI"/>
              </w:rPr>
            </w:pPr>
            <w:r w:rsidRPr="005F5630">
              <w:rPr>
                <w:rFonts w:asciiTheme="majorHAnsi" w:eastAsia="Times New Roman" w:hAnsiTheme="majorHAnsi" w:cstheme="majorHAnsi"/>
                <w:sz w:val="18"/>
                <w:szCs w:val="18"/>
                <w:lang w:eastAsia="fi-FI"/>
              </w:rPr>
              <w:t>3</w:t>
            </w:r>
            <w:r w:rsidR="00A50B4D" w:rsidRPr="005F5630">
              <w:rPr>
                <w:rFonts w:asciiTheme="majorHAnsi" w:eastAsia="Times New Roman" w:hAnsiTheme="majorHAnsi" w:cstheme="majorHAnsi"/>
                <w:sz w:val="18"/>
                <w:szCs w:val="18"/>
                <w:lang w:eastAsia="fi-FI"/>
              </w:rPr>
              <w:t>6,9</w:t>
            </w:r>
          </w:p>
        </w:tc>
        <w:tc>
          <w:tcPr>
            <w:tcW w:w="877" w:type="dxa"/>
            <w:noWrap/>
            <w:hideMark/>
          </w:tcPr>
          <w:p w14:paraId="623AFDE7" w14:textId="47A2B08E" w:rsidR="00A1698A" w:rsidRPr="005F5630" w:rsidRDefault="00A1698A" w:rsidP="00D91F63">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fi-FI"/>
              </w:rPr>
            </w:pPr>
            <w:r w:rsidRPr="005F5630">
              <w:rPr>
                <w:rFonts w:asciiTheme="majorHAnsi" w:eastAsia="Times New Roman" w:hAnsiTheme="majorHAnsi" w:cstheme="majorHAnsi"/>
                <w:sz w:val="18"/>
                <w:szCs w:val="18"/>
                <w:lang w:eastAsia="fi-FI"/>
              </w:rPr>
              <w:t>3</w:t>
            </w:r>
            <w:r w:rsidR="00A50B4D" w:rsidRPr="005F5630">
              <w:rPr>
                <w:rFonts w:asciiTheme="majorHAnsi" w:eastAsia="Times New Roman" w:hAnsiTheme="majorHAnsi" w:cstheme="majorHAnsi"/>
                <w:sz w:val="18"/>
                <w:szCs w:val="18"/>
                <w:lang w:eastAsia="fi-FI"/>
              </w:rPr>
              <w:t>8,9</w:t>
            </w:r>
          </w:p>
        </w:tc>
        <w:tc>
          <w:tcPr>
            <w:tcW w:w="844" w:type="dxa"/>
            <w:noWrap/>
            <w:hideMark/>
          </w:tcPr>
          <w:p w14:paraId="0C2B7AE9" w14:textId="49767C68" w:rsidR="00A1698A" w:rsidRPr="005F5630" w:rsidRDefault="00A1698A" w:rsidP="00D91F63">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fi-FI"/>
              </w:rPr>
            </w:pPr>
            <w:r w:rsidRPr="005F5630">
              <w:rPr>
                <w:rFonts w:asciiTheme="majorHAnsi" w:eastAsia="Times New Roman" w:hAnsiTheme="majorHAnsi" w:cstheme="majorHAnsi"/>
                <w:sz w:val="18"/>
                <w:szCs w:val="18"/>
                <w:lang w:eastAsia="fi-FI"/>
              </w:rPr>
              <w:t>4</w:t>
            </w:r>
            <w:r w:rsidR="00A50B4D" w:rsidRPr="005F5630">
              <w:rPr>
                <w:rFonts w:asciiTheme="majorHAnsi" w:eastAsia="Times New Roman" w:hAnsiTheme="majorHAnsi" w:cstheme="majorHAnsi"/>
                <w:sz w:val="18"/>
                <w:szCs w:val="18"/>
                <w:lang w:eastAsia="fi-FI"/>
              </w:rPr>
              <w:t>0,6</w:t>
            </w:r>
          </w:p>
        </w:tc>
        <w:tc>
          <w:tcPr>
            <w:tcW w:w="743" w:type="dxa"/>
            <w:noWrap/>
            <w:hideMark/>
          </w:tcPr>
          <w:p w14:paraId="7B16F703" w14:textId="59583675" w:rsidR="00A1698A" w:rsidRPr="005F5630" w:rsidRDefault="00A1698A" w:rsidP="00D91F63">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fi-FI"/>
              </w:rPr>
            </w:pPr>
            <w:r w:rsidRPr="005F5630">
              <w:rPr>
                <w:rFonts w:asciiTheme="majorHAnsi" w:eastAsia="Times New Roman" w:hAnsiTheme="majorHAnsi" w:cstheme="majorHAnsi"/>
                <w:sz w:val="18"/>
                <w:szCs w:val="18"/>
                <w:lang w:eastAsia="fi-FI"/>
              </w:rPr>
              <w:t>41</w:t>
            </w:r>
            <w:r w:rsidR="00A50B4D" w:rsidRPr="005F5630">
              <w:rPr>
                <w:rFonts w:asciiTheme="majorHAnsi" w:eastAsia="Times New Roman" w:hAnsiTheme="majorHAnsi" w:cstheme="majorHAnsi"/>
                <w:sz w:val="18"/>
                <w:szCs w:val="18"/>
                <w:lang w:eastAsia="fi-FI"/>
              </w:rPr>
              <w:t>,3</w:t>
            </w:r>
          </w:p>
        </w:tc>
        <w:tc>
          <w:tcPr>
            <w:tcW w:w="803" w:type="dxa"/>
            <w:noWrap/>
          </w:tcPr>
          <w:p w14:paraId="3B0F1B09" w14:textId="0E55F6D5" w:rsidR="00A1698A" w:rsidRPr="005F5630" w:rsidRDefault="00221D98" w:rsidP="00D91F63">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fi-FI"/>
              </w:rPr>
            </w:pPr>
            <w:r w:rsidRPr="005F5630">
              <w:rPr>
                <w:rFonts w:asciiTheme="majorHAnsi" w:eastAsia="Times New Roman" w:hAnsiTheme="majorHAnsi" w:cstheme="majorHAnsi"/>
                <w:sz w:val="18"/>
                <w:szCs w:val="18"/>
                <w:lang w:eastAsia="fi-FI"/>
              </w:rPr>
              <w:t>4</w:t>
            </w:r>
            <w:r w:rsidR="00A50B4D" w:rsidRPr="005F5630">
              <w:rPr>
                <w:rFonts w:asciiTheme="majorHAnsi" w:eastAsia="Times New Roman" w:hAnsiTheme="majorHAnsi" w:cstheme="majorHAnsi"/>
                <w:sz w:val="18"/>
                <w:szCs w:val="18"/>
                <w:lang w:eastAsia="fi-FI"/>
              </w:rPr>
              <w:t>0,6</w:t>
            </w:r>
          </w:p>
        </w:tc>
      </w:tr>
      <w:tr w:rsidR="00A1698A" w:rsidRPr="001C2EBE" w14:paraId="2F95D166" w14:textId="77777777" w:rsidTr="00497C89">
        <w:trPr>
          <w:trHeight w:val="303"/>
        </w:trPr>
        <w:tc>
          <w:tcPr>
            <w:cnfStyle w:val="001000000000" w:firstRow="0" w:lastRow="0" w:firstColumn="1" w:lastColumn="0" w:oddVBand="0" w:evenVBand="0" w:oddHBand="0" w:evenHBand="0" w:firstRowFirstColumn="0" w:firstRowLastColumn="0" w:lastRowFirstColumn="0" w:lastRowLastColumn="0"/>
            <w:tcW w:w="3600" w:type="dxa"/>
            <w:noWrap/>
            <w:hideMark/>
          </w:tcPr>
          <w:p w14:paraId="3637B69A" w14:textId="77777777" w:rsidR="00A1698A" w:rsidRPr="0094046D" w:rsidRDefault="00A1698A" w:rsidP="00A1698A">
            <w:pPr>
              <w:rPr>
                <w:rFonts w:asciiTheme="majorHAnsi" w:eastAsia="Times New Roman" w:hAnsiTheme="majorHAnsi" w:cstheme="majorHAnsi"/>
                <w:sz w:val="18"/>
                <w:szCs w:val="18"/>
                <w:lang w:eastAsia="fi-FI"/>
              </w:rPr>
            </w:pPr>
            <w:r w:rsidRPr="0094046D">
              <w:rPr>
                <w:rFonts w:asciiTheme="majorHAnsi" w:eastAsia="Times New Roman" w:hAnsiTheme="majorHAnsi" w:cstheme="majorHAnsi"/>
                <w:sz w:val="18"/>
                <w:szCs w:val="18"/>
                <w:lang w:eastAsia="fi-FI"/>
              </w:rPr>
              <w:t>Henkilöstön palkkojen ja palkkioiden kehitys, muutos ed. vuoteen</w:t>
            </w:r>
          </w:p>
        </w:tc>
        <w:tc>
          <w:tcPr>
            <w:tcW w:w="0" w:type="auto"/>
            <w:noWrap/>
            <w:hideMark/>
          </w:tcPr>
          <w:p w14:paraId="12650ABD" w14:textId="5F3A8977" w:rsidR="00A1698A" w:rsidRPr="005F5630" w:rsidRDefault="00A1698A" w:rsidP="00D91F63">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fi-FI"/>
              </w:rPr>
            </w:pPr>
            <w:r w:rsidRPr="005F5630">
              <w:rPr>
                <w:rFonts w:asciiTheme="majorHAnsi" w:eastAsia="Times New Roman" w:hAnsiTheme="majorHAnsi" w:cstheme="majorHAnsi"/>
                <w:sz w:val="18"/>
                <w:szCs w:val="18"/>
                <w:lang w:eastAsia="fi-FI"/>
              </w:rPr>
              <w:t>1</w:t>
            </w:r>
            <w:r w:rsidR="00A50B4D" w:rsidRPr="005F5630">
              <w:rPr>
                <w:rFonts w:asciiTheme="majorHAnsi" w:eastAsia="Times New Roman" w:hAnsiTheme="majorHAnsi" w:cstheme="majorHAnsi"/>
                <w:sz w:val="18"/>
                <w:szCs w:val="18"/>
                <w:lang w:eastAsia="fi-FI"/>
              </w:rPr>
              <w:t>,2</w:t>
            </w:r>
            <w:r w:rsidRPr="005F5630">
              <w:rPr>
                <w:rFonts w:asciiTheme="majorHAnsi" w:eastAsia="Times New Roman" w:hAnsiTheme="majorHAnsi" w:cstheme="majorHAnsi"/>
                <w:sz w:val="18"/>
                <w:szCs w:val="18"/>
                <w:lang w:eastAsia="fi-FI"/>
              </w:rPr>
              <w:t xml:space="preserve"> %</w:t>
            </w:r>
          </w:p>
        </w:tc>
        <w:tc>
          <w:tcPr>
            <w:tcW w:w="877" w:type="dxa"/>
            <w:noWrap/>
            <w:hideMark/>
          </w:tcPr>
          <w:p w14:paraId="4959B180" w14:textId="39DBBF16" w:rsidR="00A1698A" w:rsidRPr="005F5630" w:rsidRDefault="00A1698A" w:rsidP="00D91F63">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fi-FI"/>
              </w:rPr>
            </w:pPr>
            <w:r w:rsidRPr="005F5630">
              <w:rPr>
                <w:rFonts w:asciiTheme="majorHAnsi" w:eastAsia="Times New Roman" w:hAnsiTheme="majorHAnsi" w:cstheme="majorHAnsi"/>
                <w:sz w:val="18"/>
                <w:szCs w:val="18"/>
                <w:lang w:eastAsia="fi-FI"/>
              </w:rPr>
              <w:t>5</w:t>
            </w:r>
            <w:r w:rsidR="00A50B4D" w:rsidRPr="005F5630">
              <w:rPr>
                <w:rFonts w:asciiTheme="majorHAnsi" w:eastAsia="Times New Roman" w:hAnsiTheme="majorHAnsi" w:cstheme="majorHAnsi"/>
                <w:sz w:val="18"/>
                <w:szCs w:val="18"/>
                <w:lang w:eastAsia="fi-FI"/>
              </w:rPr>
              <w:t>,5</w:t>
            </w:r>
            <w:r w:rsidRPr="005F5630">
              <w:rPr>
                <w:rFonts w:asciiTheme="majorHAnsi" w:eastAsia="Times New Roman" w:hAnsiTheme="majorHAnsi" w:cstheme="majorHAnsi"/>
                <w:sz w:val="18"/>
                <w:szCs w:val="18"/>
                <w:lang w:eastAsia="fi-FI"/>
              </w:rPr>
              <w:t xml:space="preserve"> %</w:t>
            </w:r>
          </w:p>
        </w:tc>
        <w:tc>
          <w:tcPr>
            <w:tcW w:w="844" w:type="dxa"/>
            <w:noWrap/>
            <w:hideMark/>
          </w:tcPr>
          <w:p w14:paraId="10FB6839" w14:textId="7F17306E" w:rsidR="00A1698A" w:rsidRPr="005F5630" w:rsidRDefault="00A1698A" w:rsidP="00D91F63">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fi-FI"/>
              </w:rPr>
            </w:pPr>
            <w:r w:rsidRPr="005F5630">
              <w:rPr>
                <w:rFonts w:asciiTheme="majorHAnsi" w:eastAsia="Times New Roman" w:hAnsiTheme="majorHAnsi" w:cstheme="majorHAnsi"/>
                <w:sz w:val="18"/>
                <w:szCs w:val="18"/>
                <w:lang w:eastAsia="fi-FI"/>
              </w:rPr>
              <w:t>4</w:t>
            </w:r>
            <w:r w:rsidR="00A50B4D" w:rsidRPr="005F5630">
              <w:rPr>
                <w:rFonts w:asciiTheme="majorHAnsi" w:eastAsia="Times New Roman" w:hAnsiTheme="majorHAnsi" w:cstheme="majorHAnsi"/>
                <w:sz w:val="18"/>
                <w:szCs w:val="18"/>
                <w:lang w:eastAsia="fi-FI"/>
              </w:rPr>
              <w:t>,3</w:t>
            </w:r>
            <w:r w:rsidRPr="005F5630">
              <w:rPr>
                <w:rFonts w:asciiTheme="majorHAnsi" w:eastAsia="Times New Roman" w:hAnsiTheme="majorHAnsi" w:cstheme="majorHAnsi"/>
                <w:sz w:val="18"/>
                <w:szCs w:val="18"/>
                <w:lang w:eastAsia="fi-FI"/>
              </w:rPr>
              <w:t xml:space="preserve"> %</w:t>
            </w:r>
          </w:p>
        </w:tc>
        <w:tc>
          <w:tcPr>
            <w:tcW w:w="743" w:type="dxa"/>
            <w:noWrap/>
            <w:hideMark/>
          </w:tcPr>
          <w:p w14:paraId="17DA1BB1" w14:textId="0AA27853" w:rsidR="00A1698A" w:rsidRPr="005F5630" w:rsidRDefault="00A50B4D" w:rsidP="00D91F63">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fi-FI"/>
              </w:rPr>
            </w:pPr>
            <w:r w:rsidRPr="005F5630">
              <w:rPr>
                <w:rFonts w:asciiTheme="majorHAnsi" w:eastAsia="Times New Roman" w:hAnsiTheme="majorHAnsi" w:cstheme="majorHAnsi"/>
                <w:sz w:val="18"/>
                <w:szCs w:val="18"/>
                <w:lang w:eastAsia="fi-FI"/>
              </w:rPr>
              <w:t>1,8</w:t>
            </w:r>
            <w:r w:rsidR="00A1698A" w:rsidRPr="005F5630">
              <w:rPr>
                <w:rFonts w:asciiTheme="majorHAnsi" w:eastAsia="Times New Roman" w:hAnsiTheme="majorHAnsi" w:cstheme="majorHAnsi"/>
                <w:sz w:val="18"/>
                <w:szCs w:val="18"/>
                <w:lang w:eastAsia="fi-FI"/>
              </w:rPr>
              <w:t xml:space="preserve"> %</w:t>
            </w:r>
          </w:p>
        </w:tc>
        <w:tc>
          <w:tcPr>
            <w:tcW w:w="803" w:type="dxa"/>
            <w:noWrap/>
          </w:tcPr>
          <w:p w14:paraId="256505A2" w14:textId="49531300" w:rsidR="00A1698A" w:rsidRPr="005F5630" w:rsidRDefault="00221D98" w:rsidP="00D91F63">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fi-FI"/>
              </w:rPr>
            </w:pPr>
            <w:r w:rsidRPr="005F5630">
              <w:rPr>
                <w:rFonts w:asciiTheme="majorHAnsi" w:eastAsia="Times New Roman" w:hAnsiTheme="majorHAnsi" w:cstheme="majorHAnsi"/>
                <w:sz w:val="18"/>
                <w:szCs w:val="18"/>
                <w:lang w:eastAsia="fi-FI"/>
              </w:rPr>
              <w:t>-</w:t>
            </w:r>
            <w:r w:rsidR="00A50B4D" w:rsidRPr="005F5630">
              <w:rPr>
                <w:rFonts w:asciiTheme="majorHAnsi" w:eastAsia="Times New Roman" w:hAnsiTheme="majorHAnsi" w:cstheme="majorHAnsi"/>
                <w:sz w:val="18"/>
                <w:szCs w:val="18"/>
                <w:lang w:eastAsia="fi-FI"/>
              </w:rPr>
              <w:t>1,7</w:t>
            </w:r>
            <w:r w:rsidRPr="005F5630">
              <w:rPr>
                <w:rFonts w:asciiTheme="majorHAnsi" w:eastAsia="Times New Roman" w:hAnsiTheme="majorHAnsi" w:cstheme="majorHAnsi"/>
                <w:sz w:val="18"/>
                <w:szCs w:val="18"/>
                <w:lang w:eastAsia="fi-FI"/>
              </w:rPr>
              <w:t xml:space="preserve"> %</w:t>
            </w:r>
          </w:p>
        </w:tc>
      </w:tr>
    </w:tbl>
    <w:p w14:paraId="0A224569" w14:textId="531949F3" w:rsidR="00CB69A5" w:rsidRPr="0094046D" w:rsidRDefault="00CB69A5" w:rsidP="003730D1">
      <w:pPr>
        <w:ind w:left="2608"/>
        <w:rPr>
          <w:sz w:val="16"/>
          <w:szCs w:val="16"/>
          <w:lang w:eastAsia="fi-FI"/>
        </w:rPr>
      </w:pPr>
      <w:r w:rsidRPr="0094046D">
        <w:rPr>
          <w:sz w:val="16"/>
          <w:szCs w:val="16"/>
          <w:lang w:eastAsia="fi-FI"/>
        </w:rPr>
        <w:t>* Tytäryhtiöiden TJ palkat ja palkkiot sekä TJ vaihdoksiin liittyvät palkat ja palkkiot</w:t>
      </w:r>
    </w:p>
    <w:p w14:paraId="69DA84C9" w14:textId="373AC093" w:rsidR="00CB69A5" w:rsidRPr="000435EE" w:rsidRDefault="00CB69A5" w:rsidP="003730D1">
      <w:pPr>
        <w:ind w:left="2608"/>
        <w:rPr>
          <w:sz w:val="16"/>
          <w:szCs w:val="16"/>
          <w:lang w:eastAsia="fi-FI"/>
        </w:rPr>
      </w:pPr>
      <w:r w:rsidRPr="000435EE">
        <w:rPr>
          <w:sz w:val="16"/>
          <w:szCs w:val="16"/>
          <w:lang w:eastAsia="fi-FI"/>
        </w:rPr>
        <w:t xml:space="preserve">** </w:t>
      </w:r>
      <w:r w:rsidR="00085511" w:rsidRPr="000435EE">
        <w:rPr>
          <w:sz w:val="16"/>
          <w:szCs w:val="16"/>
          <w:lang w:eastAsia="fi-FI"/>
        </w:rPr>
        <w:t>Henkilöstön</w:t>
      </w:r>
      <w:r w:rsidRPr="000435EE">
        <w:rPr>
          <w:sz w:val="16"/>
          <w:szCs w:val="16"/>
          <w:lang w:eastAsia="fi-FI"/>
        </w:rPr>
        <w:t xml:space="preserve"> keskipalkka ilman pakollisia sivukuluja</w:t>
      </w:r>
    </w:p>
    <w:p w14:paraId="2EDA18E1" w14:textId="77777777" w:rsidR="00E51D05" w:rsidRPr="000435EE" w:rsidRDefault="00E51D05" w:rsidP="003730D1">
      <w:pPr>
        <w:ind w:left="2608"/>
        <w:rPr>
          <w:sz w:val="16"/>
          <w:szCs w:val="16"/>
          <w:lang w:eastAsia="fi-FI"/>
        </w:rPr>
      </w:pPr>
    </w:p>
    <w:tbl>
      <w:tblPr>
        <w:tblStyle w:val="Yksinkertainentaulukko2"/>
        <w:tblpPr w:leftFromText="141" w:rightFromText="141" w:vertAnchor="text" w:horzAnchor="page" w:tblpX="2617" w:tblpY="172"/>
        <w:tblW w:w="7938" w:type="dxa"/>
        <w:tblLayout w:type="fixed"/>
        <w:tblLook w:val="04A0" w:firstRow="1" w:lastRow="0" w:firstColumn="1" w:lastColumn="0" w:noHBand="0" w:noVBand="1"/>
      </w:tblPr>
      <w:tblGrid>
        <w:gridCol w:w="3402"/>
        <w:gridCol w:w="993"/>
        <w:gridCol w:w="851"/>
        <w:gridCol w:w="850"/>
        <w:gridCol w:w="992"/>
        <w:gridCol w:w="850"/>
      </w:tblGrid>
      <w:tr w:rsidR="000435EE" w:rsidRPr="000435EE" w14:paraId="7C39BD6E" w14:textId="77777777" w:rsidTr="000F535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noWrap/>
            <w:hideMark/>
          </w:tcPr>
          <w:p w14:paraId="0BE53903" w14:textId="77777777" w:rsidR="00A1698A" w:rsidRPr="000435EE" w:rsidRDefault="00A1698A" w:rsidP="000F535A">
            <w:pPr>
              <w:rPr>
                <w:rFonts w:ascii="Calibri" w:eastAsia="Times New Roman" w:hAnsi="Calibri" w:cs="Calibri"/>
                <w:b w:val="0"/>
                <w:bCs w:val="0"/>
                <w:sz w:val="22"/>
                <w:lang w:eastAsia="fi-FI"/>
              </w:rPr>
            </w:pPr>
            <w:r w:rsidRPr="000435EE">
              <w:rPr>
                <w:rFonts w:ascii="Calibri" w:eastAsia="Times New Roman" w:hAnsi="Calibri" w:cs="Calibri"/>
                <w:sz w:val="22"/>
                <w:lang w:eastAsia="fi-FI"/>
              </w:rPr>
              <w:t>Konsernin taloudellinen kehitys</w:t>
            </w:r>
          </w:p>
        </w:tc>
        <w:tc>
          <w:tcPr>
            <w:tcW w:w="993" w:type="dxa"/>
            <w:noWrap/>
            <w:hideMark/>
          </w:tcPr>
          <w:p w14:paraId="73C8D5B8" w14:textId="36476B53" w:rsidR="00A1698A" w:rsidRPr="000435EE" w:rsidRDefault="00A1698A" w:rsidP="000F535A">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sz w:val="22"/>
                <w:lang w:eastAsia="fi-FI"/>
              </w:rPr>
            </w:pPr>
            <w:r w:rsidRPr="000435EE">
              <w:rPr>
                <w:rFonts w:ascii="Calibri" w:eastAsia="Times New Roman" w:hAnsi="Calibri" w:cs="Calibri"/>
                <w:sz w:val="22"/>
                <w:lang w:eastAsia="fi-FI"/>
              </w:rPr>
              <w:t>2017</w:t>
            </w:r>
          </w:p>
        </w:tc>
        <w:tc>
          <w:tcPr>
            <w:tcW w:w="851" w:type="dxa"/>
            <w:noWrap/>
            <w:hideMark/>
          </w:tcPr>
          <w:p w14:paraId="7ABBE56F" w14:textId="5D70764D" w:rsidR="00A1698A" w:rsidRPr="000435EE" w:rsidRDefault="00A1698A" w:rsidP="000F535A">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sz w:val="22"/>
                <w:lang w:eastAsia="fi-FI"/>
              </w:rPr>
            </w:pPr>
            <w:r w:rsidRPr="000435EE">
              <w:rPr>
                <w:rFonts w:ascii="Calibri" w:eastAsia="Times New Roman" w:hAnsi="Calibri" w:cs="Calibri"/>
                <w:sz w:val="22"/>
                <w:lang w:eastAsia="fi-FI"/>
              </w:rPr>
              <w:t>2018</w:t>
            </w:r>
          </w:p>
        </w:tc>
        <w:tc>
          <w:tcPr>
            <w:tcW w:w="850" w:type="dxa"/>
            <w:noWrap/>
            <w:hideMark/>
          </w:tcPr>
          <w:p w14:paraId="155DBB41" w14:textId="04F2E2E3" w:rsidR="00A1698A" w:rsidRPr="000435EE" w:rsidRDefault="00A1698A" w:rsidP="000F535A">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sz w:val="22"/>
                <w:lang w:eastAsia="fi-FI"/>
              </w:rPr>
            </w:pPr>
            <w:r w:rsidRPr="000435EE">
              <w:rPr>
                <w:rFonts w:ascii="Calibri" w:eastAsia="Times New Roman" w:hAnsi="Calibri" w:cs="Calibri"/>
                <w:sz w:val="22"/>
                <w:lang w:eastAsia="fi-FI"/>
              </w:rPr>
              <w:t>2019</w:t>
            </w:r>
          </w:p>
        </w:tc>
        <w:tc>
          <w:tcPr>
            <w:tcW w:w="992" w:type="dxa"/>
            <w:noWrap/>
            <w:hideMark/>
          </w:tcPr>
          <w:p w14:paraId="47E55DB1" w14:textId="3BF21B72" w:rsidR="00A1698A" w:rsidRPr="000435EE" w:rsidRDefault="00A1698A" w:rsidP="000F535A">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sz w:val="22"/>
                <w:lang w:eastAsia="fi-FI"/>
              </w:rPr>
            </w:pPr>
            <w:r w:rsidRPr="000435EE">
              <w:rPr>
                <w:rFonts w:ascii="Calibri" w:eastAsia="Times New Roman" w:hAnsi="Calibri" w:cs="Calibri"/>
                <w:sz w:val="22"/>
                <w:lang w:eastAsia="fi-FI"/>
              </w:rPr>
              <w:t>2020</w:t>
            </w:r>
          </w:p>
        </w:tc>
        <w:tc>
          <w:tcPr>
            <w:tcW w:w="850" w:type="dxa"/>
            <w:noWrap/>
            <w:hideMark/>
          </w:tcPr>
          <w:p w14:paraId="4548282A" w14:textId="6AA9C1BE" w:rsidR="00A1698A" w:rsidRPr="000435EE" w:rsidRDefault="00A1698A" w:rsidP="000F535A">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sz w:val="22"/>
                <w:lang w:eastAsia="fi-FI"/>
              </w:rPr>
            </w:pPr>
            <w:r w:rsidRPr="000435EE">
              <w:rPr>
                <w:rFonts w:ascii="Calibri" w:eastAsia="Times New Roman" w:hAnsi="Calibri" w:cs="Calibri"/>
                <w:sz w:val="22"/>
                <w:lang w:eastAsia="fi-FI"/>
              </w:rPr>
              <w:t>2021</w:t>
            </w:r>
          </w:p>
        </w:tc>
      </w:tr>
      <w:tr w:rsidR="000435EE" w:rsidRPr="000435EE" w14:paraId="44D142DC" w14:textId="77777777" w:rsidTr="000F53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noWrap/>
            <w:hideMark/>
          </w:tcPr>
          <w:p w14:paraId="4E250D8F" w14:textId="0906B842" w:rsidR="00A1698A" w:rsidRPr="000435EE" w:rsidRDefault="00A1698A" w:rsidP="000F535A">
            <w:pPr>
              <w:rPr>
                <w:rFonts w:ascii="Calibri" w:eastAsia="Times New Roman" w:hAnsi="Calibri" w:cs="Calibri"/>
                <w:sz w:val="22"/>
                <w:lang w:eastAsia="fi-FI"/>
              </w:rPr>
            </w:pPr>
            <w:r w:rsidRPr="000435EE">
              <w:rPr>
                <w:rFonts w:ascii="Calibri" w:eastAsia="Times New Roman" w:hAnsi="Calibri" w:cs="Calibri"/>
                <w:sz w:val="22"/>
                <w:lang w:eastAsia="fi-FI"/>
              </w:rPr>
              <w:t>Liikevaihto</w:t>
            </w:r>
            <w:r w:rsidR="000F535A" w:rsidRPr="000435EE">
              <w:rPr>
                <w:rFonts w:ascii="Calibri" w:eastAsia="Times New Roman" w:hAnsi="Calibri" w:cs="Calibri"/>
                <w:sz w:val="22"/>
                <w:lang w:eastAsia="fi-FI"/>
              </w:rPr>
              <w:t>, €</w:t>
            </w:r>
          </w:p>
        </w:tc>
        <w:tc>
          <w:tcPr>
            <w:tcW w:w="993" w:type="dxa"/>
            <w:noWrap/>
            <w:hideMark/>
          </w:tcPr>
          <w:p w14:paraId="7E8616AA" w14:textId="5C707E86" w:rsidR="00A1698A" w:rsidRPr="000435EE" w:rsidRDefault="00A1698A" w:rsidP="000F53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lang w:eastAsia="fi-FI"/>
              </w:rPr>
            </w:pPr>
            <w:r w:rsidRPr="000435EE">
              <w:rPr>
                <w:rFonts w:ascii="Calibri" w:eastAsia="Times New Roman" w:hAnsi="Calibri" w:cs="Calibri"/>
                <w:sz w:val="22"/>
                <w:lang w:eastAsia="fi-FI"/>
              </w:rPr>
              <w:t xml:space="preserve">42 965 </w:t>
            </w:r>
          </w:p>
        </w:tc>
        <w:tc>
          <w:tcPr>
            <w:tcW w:w="851" w:type="dxa"/>
            <w:noWrap/>
            <w:hideMark/>
          </w:tcPr>
          <w:p w14:paraId="7920714A" w14:textId="7D3CDE8E" w:rsidR="00A1698A" w:rsidRPr="000435EE" w:rsidRDefault="00A1698A" w:rsidP="000F53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lang w:eastAsia="fi-FI"/>
              </w:rPr>
            </w:pPr>
            <w:r w:rsidRPr="000435EE">
              <w:rPr>
                <w:rFonts w:ascii="Calibri" w:eastAsia="Times New Roman" w:hAnsi="Calibri" w:cs="Calibri"/>
                <w:sz w:val="22"/>
                <w:lang w:eastAsia="fi-FI"/>
              </w:rPr>
              <w:t xml:space="preserve">45 064 </w:t>
            </w:r>
          </w:p>
        </w:tc>
        <w:tc>
          <w:tcPr>
            <w:tcW w:w="850" w:type="dxa"/>
            <w:noWrap/>
            <w:hideMark/>
          </w:tcPr>
          <w:p w14:paraId="6CA715B2" w14:textId="70D6D2C9" w:rsidR="00A1698A" w:rsidRPr="000435EE" w:rsidRDefault="00A1698A" w:rsidP="000F53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lang w:eastAsia="fi-FI"/>
              </w:rPr>
            </w:pPr>
            <w:r w:rsidRPr="000435EE">
              <w:rPr>
                <w:rFonts w:ascii="Calibri" w:eastAsia="Times New Roman" w:hAnsi="Calibri" w:cs="Calibri"/>
                <w:sz w:val="22"/>
                <w:lang w:eastAsia="fi-FI"/>
              </w:rPr>
              <w:t xml:space="preserve">47 352 </w:t>
            </w:r>
          </w:p>
        </w:tc>
        <w:tc>
          <w:tcPr>
            <w:tcW w:w="992" w:type="dxa"/>
            <w:noWrap/>
            <w:hideMark/>
          </w:tcPr>
          <w:p w14:paraId="60F84A91" w14:textId="3FD2243F" w:rsidR="00A1698A" w:rsidRPr="000435EE" w:rsidRDefault="00A1698A" w:rsidP="000F53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lang w:eastAsia="fi-FI"/>
              </w:rPr>
            </w:pPr>
            <w:r w:rsidRPr="000435EE">
              <w:rPr>
                <w:rFonts w:ascii="Calibri" w:eastAsia="Times New Roman" w:hAnsi="Calibri" w:cs="Calibri"/>
                <w:sz w:val="22"/>
                <w:lang w:eastAsia="fi-FI"/>
              </w:rPr>
              <w:t xml:space="preserve">39 647 </w:t>
            </w:r>
          </w:p>
        </w:tc>
        <w:tc>
          <w:tcPr>
            <w:tcW w:w="850" w:type="dxa"/>
            <w:noWrap/>
          </w:tcPr>
          <w:p w14:paraId="30519516" w14:textId="67D336B4" w:rsidR="00A1698A" w:rsidRPr="000435EE" w:rsidRDefault="00243B89" w:rsidP="000F53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lang w:eastAsia="fi-FI"/>
              </w:rPr>
            </w:pPr>
            <w:r w:rsidRPr="000435EE">
              <w:rPr>
                <w:rFonts w:ascii="Calibri" w:eastAsia="Times New Roman" w:hAnsi="Calibri" w:cs="Calibri"/>
                <w:sz w:val="22"/>
                <w:lang w:eastAsia="fi-FI"/>
              </w:rPr>
              <w:t>45 472</w:t>
            </w:r>
          </w:p>
        </w:tc>
      </w:tr>
      <w:tr w:rsidR="000435EE" w:rsidRPr="000435EE" w14:paraId="1137EAF5" w14:textId="77777777" w:rsidTr="000F535A">
        <w:trPr>
          <w:trHeight w:val="300"/>
        </w:trPr>
        <w:tc>
          <w:tcPr>
            <w:cnfStyle w:val="001000000000" w:firstRow="0" w:lastRow="0" w:firstColumn="1" w:lastColumn="0" w:oddVBand="0" w:evenVBand="0" w:oddHBand="0" w:evenHBand="0" w:firstRowFirstColumn="0" w:firstRowLastColumn="0" w:lastRowFirstColumn="0" w:lastRowLastColumn="0"/>
            <w:tcW w:w="3402" w:type="dxa"/>
            <w:noWrap/>
            <w:hideMark/>
          </w:tcPr>
          <w:p w14:paraId="2AFED1E8" w14:textId="77777777" w:rsidR="00A1698A" w:rsidRPr="000435EE" w:rsidRDefault="00A1698A" w:rsidP="000F535A">
            <w:pPr>
              <w:rPr>
                <w:rFonts w:ascii="Calibri" w:eastAsia="Times New Roman" w:hAnsi="Calibri" w:cs="Calibri"/>
                <w:sz w:val="22"/>
                <w:lang w:eastAsia="fi-FI"/>
              </w:rPr>
            </w:pPr>
            <w:r w:rsidRPr="000435EE">
              <w:rPr>
                <w:rFonts w:ascii="Calibri" w:eastAsia="Times New Roman" w:hAnsi="Calibri" w:cs="Calibri"/>
                <w:sz w:val="22"/>
                <w:lang w:eastAsia="fi-FI"/>
              </w:rPr>
              <w:t>Liikevaihto muutos</w:t>
            </w:r>
          </w:p>
        </w:tc>
        <w:tc>
          <w:tcPr>
            <w:tcW w:w="993" w:type="dxa"/>
            <w:noWrap/>
            <w:hideMark/>
          </w:tcPr>
          <w:p w14:paraId="0CC77EE9" w14:textId="64DEDBA9" w:rsidR="00A1698A" w:rsidRPr="000435EE" w:rsidRDefault="000F535A" w:rsidP="000F53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lang w:eastAsia="fi-FI"/>
              </w:rPr>
            </w:pPr>
            <w:r w:rsidRPr="000435EE">
              <w:rPr>
                <w:rFonts w:ascii="Calibri" w:eastAsia="Times New Roman" w:hAnsi="Calibri" w:cs="Calibri"/>
                <w:sz w:val="22"/>
                <w:lang w:eastAsia="fi-FI"/>
              </w:rPr>
              <w:t>1,7</w:t>
            </w:r>
            <w:r w:rsidR="00A1698A" w:rsidRPr="000435EE">
              <w:rPr>
                <w:rFonts w:ascii="Calibri" w:eastAsia="Times New Roman" w:hAnsi="Calibri" w:cs="Calibri"/>
                <w:sz w:val="22"/>
                <w:lang w:eastAsia="fi-FI"/>
              </w:rPr>
              <w:t xml:space="preserve"> %</w:t>
            </w:r>
          </w:p>
        </w:tc>
        <w:tc>
          <w:tcPr>
            <w:tcW w:w="851" w:type="dxa"/>
            <w:noWrap/>
            <w:hideMark/>
          </w:tcPr>
          <w:p w14:paraId="5C5C6B03" w14:textId="5461E1F8" w:rsidR="00A1698A" w:rsidRPr="000435EE" w:rsidRDefault="000F535A" w:rsidP="000F53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lang w:eastAsia="fi-FI"/>
              </w:rPr>
            </w:pPr>
            <w:r w:rsidRPr="000435EE">
              <w:rPr>
                <w:rFonts w:ascii="Calibri" w:eastAsia="Times New Roman" w:hAnsi="Calibri" w:cs="Calibri"/>
                <w:sz w:val="22"/>
                <w:lang w:eastAsia="fi-FI"/>
              </w:rPr>
              <w:t>5,5</w:t>
            </w:r>
            <w:r w:rsidR="00A1698A" w:rsidRPr="000435EE">
              <w:rPr>
                <w:rFonts w:ascii="Calibri" w:eastAsia="Times New Roman" w:hAnsi="Calibri" w:cs="Calibri"/>
                <w:sz w:val="22"/>
                <w:lang w:eastAsia="fi-FI"/>
              </w:rPr>
              <w:t xml:space="preserve"> %</w:t>
            </w:r>
          </w:p>
        </w:tc>
        <w:tc>
          <w:tcPr>
            <w:tcW w:w="850" w:type="dxa"/>
            <w:noWrap/>
            <w:hideMark/>
          </w:tcPr>
          <w:p w14:paraId="60823F09" w14:textId="4E9BA1C7" w:rsidR="00A1698A" w:rsidRPr="000435EE" w:rsidRDefault="00A1698A" w:rsidP="000F53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lang w:eastAsia="fi-FI"/>
              </w:rPr>
            </w:pPr>
            <w:r w:rsidRPr="000435EE">
              <w:rPr>
                <w:rFonts w:ascii="Calibri" w:eastAsia="Times New Roman" w:hAnsi="Calibri" w:cs="Calibri"/>
                <w:sz w:val="22"/>
                <w:lang w:eastAsia="fi-FI"/>
              </w:rPr>
              <w:t>5</w:t>
            </w:r>
            <w:r w:rsidR="000F535A" w:rsidRPr="000435EE">
              <w:rPr>
                <w:rFonts w:ascii="Calibri" w:eastAsia="Times New Roman" w:hAnsi="Calibri" w:cs="Calibri"/>
                <w:sz w:val="22"/>
                <w:lang w:eastAsia="fi-FI"/>
              </w:rPr>
              <w:t>,1</w:t>
            </w:r>
            <w:r w:rsidRPr="000435EE">
              <w:rPr>
                <w:rFonts w:ascii="Calibri" w:eastAsia="Times New Roman" w:hAnsi="Calibri" w:cs="Calibri"/>
                <w:sz w:val="22"/>
                <w:lang w:eastAsia="fi-FI"/>
              </w:rPr>
              <w:t xml:space="preserve"> %</w:t>
            </w:r>
          </w:p>
        </w:tc>
        <w:tc>
          <w:tcPr>
            <w:tcW w:w="992" w:type="dxa"/>
            <w:noWrap/>
            <w:hideMark/>
          </w:tcPr>
          <w:p w14:paraId="7FB91A27" w14:textId="576E3598" w:rsidR="00A1698A" w:rsidRPr="000435EE" w:rsidRDefault="00A1698A" w:rsidP="000F53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lang w:eastAsia="fi-FI"/>
              </w:rPr>
            </w:pPr>
            <w:r w:rsidRPr="000435EE">
              <w:rPr>
                <w:rFonts w:ascii="Calibri" w:eastAsia="Times New Roman" w:hAnsi="Calibri" w:cs="Calibri"/>
                <w:sz w:val="22"/>
                <w:lang w:eastAsia="fi-FI"/>
              </w:rPr>
              <w:t>-1</w:t>
            </w:r>
            <w:r w:rsidR="000F535A" w:rsidRPr="000435EE">
              <w:rPr>
                <w:rFonts w:ascii="Calibri" w:eastAsia="Times New Roman" w:hAnsi="Calibri" w:cs="Calibri"/>
                <w:sz w:val="22"/>
                <w:lang w:eastAsia="fi-FI"/>
              </w:rPr>
              <w:t>6,5</w:t>
            </w:r>
            <w:r w:rsidRPr="000435EE">
              <w:rPr>
                <w:rFonts w:ascii="Calibri" w:eastAsia="Times New Roman" w:hAnsi="Calibri" w:cs="Calibri"/>
                <w:sz w:val="22"/>
                <w:lang w:eastAsia="fi-FI"/>
              </w:rPr>
              <w:t xml:space="preserve"> %</w:t>
            </w:r>
          </w:p>
        </w:tc>
        <w:tc>
          <w:tcPr>
            <w:tcW w:w="850" w:type="dxa"/>
            <w:noWrap/>
          </w:tcPr>
          <w:p w14:paraId="7B2D3ADB" w14:textId="0A5685A8" w:rsidR="00A1698A" w:rsidRPr="000435EE" w:rsidRDefault="00243B89" w:rsidP="000F53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lang w:eastAsia="fi-FI"/>
              </w:rPr>
            </w:pPr>
            <w:r w:rsidRPr="000435EE">
              <w:rPr>
                <w:rFonts w:ascii="Calibri" w:eastAsia="Times New Roman" w:hAnsi="Calibri" w:cs="Calibri"/>
                <w:sz w:val="22"/>
                <w:lang w:eastAsia="fi-FI"/>
              </w:rPr>
              <w:t>1</w:t>
            </w:r>
            <w:r w:rsidR="000F535A" w:rsidRPr="000435EE">
              <w:rPr>
                <w:rFonts w:ascii="Calibri" w:eastAsia="Times New Roman" w:hAnsi="Calibri" w:cs="Calibri"/>
                <w:sz w:val="22"/>
                <w:lang w:eastAsia="fi-FI"/>
              </w:rPr>
              <w:t>4,7</w:t>
            </w:r>
            <w:r w:rsidRPr="000435EE">
              <w:rPr>
                <w:rFonts w:ascii="Calibri" w:eastAsia="Times New Roman" w:hAnsi="Calibri" w:cs="Calibri"/>
                <w:sz w:val="22"/>
                <w:lang w:eastAsia="fi-FI"/>
              </w:rPr>
              <w:t xml:space="preserve"> %</w:t>
            </w:r>
          </w:p>
        </w:tc>
      </w:tr>
      <w:tr w:rsidR="000435EE" w:rsidRPr="000435EE" w14:paraId="4044A22D" w14:textId="77777777" w:rsidTr="000F53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noWrap/>
            <w:hideMark/>
          </w:tcPr>
          <w:p w14:paraId="293D752C" w14:textId="20ECF678" w:rsidR="00A1698A" w:rsidRPr="000435EE" w:rsidRDefault="000435EE" w:rsidP="000F535A">
            <w:pPr>
              <w:rPr>
                <w:rFonts w:ascii="Calibri" w:eastAsia="Times New Roman" w:hAnsi="Calibri" w:cs="Calibri"/>
                <w:sz w:val="22"/>
                <w:lang w:eastAsia="fi-FI"/>
              </w:rPr>
            </w:pPr>
            <w:r w:rsidRPr="000435EE">
              <w:rPr>
                <w:rFonts w:ascii="Calibri" w:eastAsia="Times New Roman" w:hAnsi="Calibri" w:cs="Calibri"/>
                <w:sz w:val="22"/>
                <w:lang w:eastAsia="fi-FI"/>
              </w:rPr>
              <w:t>S</w:t>
            </w:r>
            <w:r w:rsidR="00A1698A" w:rsidRPr="000435EE">
              <w:rPr>
                <w:rFonts w:ascii="Calibri" w:eastAsia="Times New Roman" w:hAnsi="Calibri" w:cs="Calibri"/>
                <w:sz w:val="22"/>
                <w:lang w:eastAsia="fi-FI"/>
              </w:rPr>
              <w:t>ijoitetun pääoman tuotto (ROI)</w:t>
            </w:r>
          </w:p>
        </w:tc>
        <w:tc>
          <w:tcPr>
            <w:tcW w:w="993" w:type="dxa"/>
            <w:noWrap/>
            <w:hideMark/>
          </w:tcPr>
          <w:p w14:paraId="35C4ED5B" w14:textId="527E2029" w:rsidR="00A1698A" w:rsidRPr="000435EE" w:rsidRDefault="00A1698A" w:rsidP="000F53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lang w:eastAsia="fi-FI"/>
              </w:rPr>
            </w:pPr>
            <w:r w:rsidRPr="000435EE">
              <w:rPr>
                <w:rFonts w:ascii="Calibri" w:eastAsia="Times New Roman" w:hAnsi="Calibri" w:cs="Calibri"/>
                <w:sz w:val="22"/>
                <w:lang w:eastAsia="fi-FI"/>
              </w:rPr>
              <w:t>6</w:t>
            </w:r>
            <w:r w:rsidR="000F535A" w:rsidRPr="000435EE">
              <w:rPr>
                <w:rFonts w:ascii="Calibri" w:eastAsia="Times New Roman" w:hAnsi="Calibri" w:cs="Calibri"/>
                <w:sz w:val="22"/>
                <w:lang w:eastAsia="fi-FI"/>
              </w:rPr>
              <w:t>,2</w:t>
            </w:r>
            <w:r w:rsidRPr="000435EE">
              <w:rPr>
                <w:rFonts w:ascii="Calibri" w:eastAsia="Times New Roman" w:hAnsi="Calibri" w:cs="Calibri"/>
                <w:sz w:val="22"/>
                <w:lang w:eastAsia="fi-FI"/>
              </w:rPr>
              <w:t xml:space="preserve"> %</w:t>
            </w:r>
          </w:p>
        </w:tc>
        <w:tc>
          <w:tcPr>
            <w:tcW w:w="851" w:type="dxa"/>
            <w:noWrap/>
            <w:hideMark/>
          </w:tcPr>
          <w:p w14:paraId="5ED283C3" w14:textId="0DBEDCAE" w:rsidR="00A1698A" w:rsidRPr="000435EE" w:rsidRDefault="000F535A" w:rsidP="000F53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lang w:eastAsia="fi-FI"/>
              </w:rPr>
            </w:pPr>
            <w:r w:rsidRPr="000435EE">
              <w:rPr>
                <w:rFonts w:ascii="Calibri" w:eastAsia="Times New Roman" w:hAnsi="Calibri" w:cs="Calibri"/>
                <w:sz w:val="22"/>
                <w:lang w:eastAsia="fi-FI"/>
              </w:rPr>
              <w:t>9,5</w:t>
            </w:r>
            <w:r w:rsidR="00A1698A" w:rsidRPr="000435EE">
              <w:rPr>
                <w:rFonts w:ascii="Calibri" w:eastAsia="Times New Roman" w:hAnsi="Calibri" w:cs="Calibri"/>
                <w:sz w:val="22"/>
                <w:lang w:eastAsia="fi-FI"/>
              </w:rPr>
              <w:t xml:space="preserve"> %</w:t>
            </w:r>
          </w:p>
        </w:tc>
        <w:tc>
          <w:tcPr>
            <w:tcW w:w="850" w:type="dxa"/>
            <w:noWrap/>
            <w:hideMark/>
          </w:tcPr>
          <w:p w14:paraId="4D15C986" w14:textId="13EA38F4" w:rsidR="00A1698A" w:rsidRPr="000435EE" w:rsidRDefault="000F535A" w:rsidP="000F53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lang w:eastAsia="fi-FI"/>
              </w:rPr>
            </w:pPr>
            <w:r w:rsidRPr="000435EE">
              <w:rPr>
                <w:rFonts w:ascii="Calibri" w:eastAsia="Times New Roman" w:hAnsi="Calibri" w:cs="Calibri"/>
                <w:sz w:val="22"/>
                <w:lang w:eastAsia="fi-FI"/>
              </w:rPr>
              <w:t>6,</w:t>
            </w:r>
            <w:r w:rsidR="00A1698A" w:rsidRPr="000435EE">
              <w:rPr>
                <w:rFonts w:ascii="Calibri" w:eastAsia="Times New Roman" w:hAnsi="Calibri" w:cs="Calibri"/>
                <w:sz w:val="22"/>
                <w:lang w:eastAsia="fi-FI"/>
              </w:rPr>
              <w:t>7 %</w:t>
            </w:r>
          </w:p>
        </w:tc>
        <w:tc>
          <w:tcPr>
            <w:tcW w:w="992" w:type="dxa"/>
            <w:noWrap/>
            <w:hideMark/>
          </w:tcPr>
          <w:p w14:paraId="57E0F2EB" w14:textId="3DD54D46" w:rsidR="00A1698A" w:rsidRPr="000435EE" w:rsidRDefault="000F535A" w:rsidP="000F53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lang w:eastAsia="fi-FI"/>
              </w:rPr>
            </w:pPr>
            <w:r w:rsidRPr="000435EE">
              <w:rPr>
                <w:rFonts w:ascii="Calibri" w:eastAsia="Times New Roman" w:hAnsi="Calibri" w:cs="Calibri"/>
                <w:sz w:val="22"/>
                <w:lang w:eastAsia="fi-FI"/>
              </w:rPr>
              <w:t>2,5</w:t>
            </w:r>
            <w:r w:rsidR="00A1698A" w:rsidRPr="000435EE">
              <w:rPr>
                <w:rFonts w:ascii="Calibri" w:eastAsia="Times New Roman" w:hAnsi="Calibri" w:cs="Calibri"/>
                <w:sz w:val="22"/>
                <w:lang w:eastAsia="fi-FI"/>
              </w:rPr>
              <w:t xml:space="preserve"> %</w:t>
            </w:r>
          </w:p>
        </w:tc>
        <w:tc>
          <w:tcPr>
            <w:tcW w:w="850" w:type="dxa"/>
            <w:noWrap/>
          </w:tcPr>
          <w:p w14:paraId="6BD40805" w14:textId="634CB30C" w:rsidR="00A1698A" w:rsidRPr="000435EE" w:rsidRDefault="00243B89" w:rsidP="000F53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lang w:eastAsia="fi-FI"/>
              </w:rPr>
            </w:pPr>
            <w:r w:rsidRPr="000435EE">
              <w:rPr>
                <w:rFonts w:ascii="Calibri" w:eastAsia="Times New Roman" w:hAnsi="Calibri" w:cs="Calibri"/>
                <w:sz w:val="22"/>
                <w:lang w:eastAsia="fi-FI"/>
              </w:rPr>
              <w:t>9</w:t>
            </w:r>
            <w:r w:rsidR="000F535A" w:rsidRPr="000435EE">
              <w:rPr>
                <w:rFonts w:ascii="Calibri" w:eastAsia="Times New Roman" w:hAnsi="Calibri" w:cs="Calibri"/>
                <w:sz w:val="22"/>
                <w:lang w:eastAsia="fi-FI"/>
              </w:rPr>
              <w:t>,4</w:t>
            </w:r>
            <w:r w:rsidRPr="000435EE">
              <w:rPr>
                <w:rFonts w:ascii="Calibri" w:eastAsia="Times New Roman" w:hAnsi="Calibri" w:cs="Calibri"/>
                <w:sz w:val="22"/>
                <w:lang w:eastAsia="fi-FI"/>
              </w:rPr>
              <w:t xml:space="preserve"> %</w:t>
            </w:r>
          </w:p>
        </w:tc>
      </w:tr>
      <w:tr w:rsidR="000435EE" w:rsidRPr="000435EE" w14:paraId="3B3990F8" w14:textId="77777777" w:rsidTr="000F535A">
        <w:trPr>
          <w:trHeight w:val="300"/>
        </w:trPr>
        <w:tc>
          <w:tcPr>
            <w:cnfStyle w:val="001000000000" w:firstRow="0" w:lastRow="0" w:firstColumn="1" w:lastColumn="0" w:oddVBand="0" w:evenVBand="0" w:oddHBand="0" w:evenHBand="0" w:firstRowFirstColumn="0" w:firstRowLastColumn="0" w:lastRowFirstColumn="0" w:lastRowLastColumn="0"/>
            <w:tcW w:w="3402" w:type="dxa"/>
            <w:noWrap/>
            <w:hideMark/>
          </w:tcPr>
          <w:p w14:paraId="240E63A7" w14:textId="5BD6DACF" w:rsidR="00A1698A" w:rsidRPr="000435EE" w:rsidRDefault="000435EE" w:rsidP="000F535A">
            <w:pPr>
              <w:rPr>
                <w:rFonts w:ascii="Calibri" w:eastAsia="Times New Roman" w:hAnsi="Calibri" w:cs="Calibri"/>
                <w:sz w:val="22"/>
                <w:lang w:eastAsia="fi-FI"/>
              </w:rPr>
            </w:pPr>
            <w:r w:rsidRPr="000435EE">
              <w:rPr>
                <w:rFonts w:ascii="Calibri" w:eastAsia="Times New Roman" w:hAnsi="Calibri" w:cs="Calibri"/>
                <w:sz w:val="22"/>
                <w:lang w:eastAsia="fi-FI"/>
              </w:rPr>
              <w:t>O</w:t>
            </w:r>
            <w:r w:rsidR="00A1698A" w:rsidRPr="000435EE">
              <w:rPr>
                <w:rFonts w:ascii="Calibri" w:eastAsia="Times New Roman" w:hAnsi="Calibri" w:cs="Calibri"/>
                <w:sz w:val="22"/>
                <w:lang w:eastAsia="fi-FI"/>
              </w:rPr>
              <w:t>mavaraisuusaste</w:t>
            </w:r>
          </w:p>
        </w:tc>
        <w:tc>
          <w:tcPr>
            <w:tcW w:w="993" w:type="dxa"/>
            <w:noWrap/>
            <w:hideMark/>
          </w:tcPr>
          <w:p w14:paraId="5711C633" w14:textId="59EFF124" w:rsidR="00A1698A" w:rsidRPr="000435EE" w:rsidRDefault="00A1698A" w:rsidP="000F53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lang w:eastAsia="fi-FI"/>
              </w:rPr>
            </w:pPr>
            <w:r w:rsidRPr="000435EE">
              <w:rPr>
                <w:rFonts w:ascii="Calibri" w:eastAsia="Times New Roman" w:hAnsi="Calibri" w:cs="Calibri"/>
                <w:sz w:val="22"/>
                <w:lang w:eastAsia="fi-FI"/>
              </w:rPr>
              <w:t xml:space="preserve">36,3 </w:t>
            </w:r>
            <w:r w:rsidR="000F535A" w:rsidRPr="000435EE">
              <w:rPr>
                <w:rFonts w:ascii="Calibri" w:eastAsia="Times New Roman" w:hAnsi="Calibri" w:cs="Calibri"/>
                <w:sz w:val="22"/>
                <w:lang w:eastAsia="fi-FI"/>
              </w:rPr>
              <w:t>%</w:t>
            </w:r>
          </w:p>
        </w:tc>
        <w:tc>
          <w:tcPr>
            <w:tcW w:w="851" w:type="dxa"/>
            <w:noWrap/>
            <w:hideMark/>
          </w:tcPr>
          <w:p w14:paraId="5FED65C5" w14:textId="6502CF49" w:rsidR="00A1698A" w:rsidRPr="000435EE" w:rsidRDefault="00A1698A" w:rsidP="000F53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lang w:eastAsia="fi-FI"/>
              </w:rPr>
            </w:pPr>
            <w:r w:rsidRPr="000435EE">
              <w:rPr>
                <w:rFonts w:ascii="Calibri" w:eastAsia="Times New Roman" w:hAnsi="Calibri" w:cs="Calibri"/>
                <w:sz w:val="22"/>
                <w:lang w:eastAsia="fi-FI"/>
              </w:rPr>
              <w:t xml:space="preserve">38,9 </w:t>
            </w:r>
            <w:r w:rsidR="000F535A" w:rsidRPr="000435EE">
              <w:rPr>
                <w:rFonts w:ascii="Calibri" w:eastAsia="Times New Roman" w:hAnsi="Calibri" w:cs="Calibri"/>
                <w:sz w:val="22"/>
                <w:lang w:eastAsia="fi-FI"/>
              </w:rPr>
              <w:t>%</w:t>
            </w:r>
          </w:p>
        </w:tc>
        <w:tc>
          <w:tcPr>
            <w:tcW w:w="850" w:type="dxa"/>
            <w:noWrap/>
            <w:hideMark/>
          </w:tcPr>
          <w:p w14:paraId="31662F34" w14:textId="5348C477" w:rsidR="00A1698A" w:rsidRPr="000435EE" w:rsidRDefault="00A1698A" w:rsidP="000F53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lang w:eastAsia="fi-FI"/>
              </w:rPr>
            </w:pPr>
            <w:r w:rsidRPr="000435EE">
              <w:rPr>
                <w:rFonts w:ascii="Calibri" w:eastAsia="Times New Roman" w:hAnsi="Calibri" w:cs="Calibri"/>
                <w:sz w:val="22"/>
                <w:lang w:eastAsia="fi-FI"/>
              </w:rPr>
              <w:t>39,5</w:t>
            </w:r>
            <w:r w:rsidR="000F535A" w:rsidRPr="000435EE">
              <w:rPr>
                <w:rFonts w:ascii="Calibri" w:eastAsia="Times New Roman" w:hAnsi="Calibri" w:cs="Calibri"/>
                <w:sz w:val="22"/>
                <w:lang w:eastAsia="fi-FI"/>
              </w:rPr>
              <w:t xml:space="preserve"> %</w:t>
            </w:r>
            <w:r w:rsidRPr="000435EE">
              <w:rPr>
                <w:rFonts w:ascii="Calibri" w:eastAsia="Times New Roman" w:hAnsi="Calibri" w:cs="Calibri"/>
                <w:sz w:val="22"/>
                <w:lang w:eastAsia="fi-FI"/>
              </w:rPr>
              <w:t xml:space="preserve"> </w:t>
            </w:r>
          </w:p>
        </w:tc>
        <w:tc>
          <w:tcPr>
            <w:tcW w:w="992" w:type="dxa"/>
            <w:noWrap/>
            <w:hideMark/>
          </w:tcPr>
          <w:p w14:paraId="382DA24D" w14:textId="29A5E851" w:rsidR="00A1698A" w:rsidRPr="000435EE" w:rsidRDefault="00A1698A" w:rsidP="000F53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lang w:eastAsia="fi-FI"/>
              </w:rPr>
            </w:pPr>
            <w:r w:rsidRPr="000435EE">
              <w:rPr>
                <w:rFonts w:ascii="Calibri" w:eastAsia="Times New Roman" w:hAnsi="Calibri" w:cs="Calibri"/>
                <w:sz w:val="22"/>
                <w:lang w:eastAsia="fi-FI"/>
              </w:rPr>
              <w:t xml:space="preserve">41,4 </w:t>
            </w:r>
            <w:r w:rsidR="000F535A" w:rsidRPr="000435EE">
              <w:rPr>
                <w:rFonts w:ascii="Calibri" w:eastAsia="Times New Roman" w:hAnsi="Calibri" w:cs="Calibri"/>
                <w:sz w:val="22"/>
                <w:lang w:eastAsia="fi-FI"/>
              </w:rPr>
              <w:t>%</w:t>
            </w:r>
          </w:p>
        </w:tc>
        <w:tc>
          <w:tcPr>
            <w:tcW w:w="850" w:type="dxa"/>
            <w:noWrap/>
          </w:tcPr>
          <w:p w14:paraId="49B83798" w14:textId="41EB7DDF" w:rsidR="00A1698A" w:rsidRPr="000435EE" w:rsidRDefault="00243B89" w:rsidP="000F53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lang w:eastAsia="fi-FI"/>
              </w:rPr>
            </w:pPr>
            <w:r w:rsidRPr="000435EE">
              <w:rPr>
                <w:rFonts w:ascii="Calibri" w:eastAsia="Times New Roman" w:hAnsi="Calibri" w:cs="Calibri"/>
                <w:sz w:val="22"/>
                <w:lang w:eastAsia="fi-FI"/>
              </w:rPr>
              <w:t>41</w:t>
            </w:r>
            <w:r w:rsidR="000F535A" w:rsidRPr="000435EE">
              <w:rPr>
                <w:rFonts w:ascii="Calibri" w:eastAsia="Times New Roman" w:hAnsi="Calibri" w:cs="Calibri"/>
                <w:sz w:val="22"/>
                <w:lang w:eastAsia="fi-FI"/>
              </w:rPr>
              <w:t>,1</w:t>
            </w:r>
            <w:r w:rsidRPr="000435EE">
              <w:rPr>
                <w:rFonts w:ascii="Calibri" w:eastAsia="Times New Roman" w:hAnsi="Calibri" w:cs="Calibri"/>
                <w:sz w:val="22"/>
                <w:lang w:eastAsia="fi-FI"/>
              </w:rPr>
              <w:t xml:space="preserve"> %</w:t>
            </w:r>
          </w:p>
        </w:tc>
      </w:tr>
      <w:tr w:rsidR="000435EE" w:rsidRPr="000435EE" w14:paraId="74890CE8" w14:textId="77777777" w:rsidTr="000F53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noWrap/>
            <w:hideMark/>
          </w:tcPr>
          <w:p w14:paraId="2A7B5043" w14:textId="601CE2E3" w:rsidR="00A1698A" w:rsidRPr="000435EE" w:rsidRDefault="000435EE" w:rsidP="000F535A">
            <w:pPr>
              <w:rPr>
                <w:rFonts w:ascii="Calibri" w:eastAsia="Times New Roman" w:hAnsi="Calibri" w:cs="Calibri"/>
                <w:sz w:val="22"/>
                <w:lang w:eastAsia="fi-FI"/>
              </w:rPr>
            </w:pPr>
            <w:r w:rsidRPr="000435EE">
              <w:rPr>
                <w:rFonts w:ascii="Calibri" w:eastAsia="Times New Roman" w:hAnsi="Calibri" w:cs="Calibri"/>
                <w:sz w:val="22"/>
                <w:lang w:eastAsia="fi-FI"/>
              </w:rPr>
              <w:t>N</w:t>
            </w:r>
            <w:r w:rsidR="00A1698A" w:rsidRPr="000435EE">
              <w:rPr>
                <w:rFonts w:ascii="Calibri" w:eastAsia="Times New Roman" w:hAnsi="Calibri" w:cs="Calibri"/>
                <w:sz w:val="22"/>
                <w:lang w:eastAsia="fi-FI"/>
              </w:rPr>
              <w:t>ettovelkaantumisaste</w:t>
            </w:r>
          </w:p>
        </w:tc>
        <w:tc>
          <w:tcPr>
            <w:tcW w:w="993" w:type="dxa"/>
            <w:noWrap/>
            <w:hideMark/>
          </w:tcPr>
          <w:p w14:paraId="57C2EFD5" w14:textId="5CCE3228" w:rsidR="00A1698A" w:rsidRPr="000435EE" w:rsidRDefault="00A1698A" w:rsidP="000F53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lang w:eastAsia="fi-FI"/>
              </w:rPr>
            </w:pPr>
            <w:r w:rsidRPr="000435EE">
              <w:rPr>
                <w:rFonts w:ascii="Calibri" w:eastAsia="Times New Roman" w:hAnsi="Calibri" w:cs="Calibri"/>
                <w:sz w:val="22"/>
                <w:lang w:eastAsia="fi-FI"/>
              </w:rPr>
              <w:t xml:space="preserve">105,2 </w:t>
            </w:r>
            <w:r w:rsidR="000F535A" w:rsidRPr="000435EE">
              <w:rPr>
                <w:rFonts w:ascii="Calibri" w:eastAsia="Times New Roman" w:hAnsi="Calibri" w:cs="Calibri"/>
                <w:sz w:val="22"/>
                <w:lang w:eastAsia="fi-FI"/>
              </w:rPr>
              <w:t>%</w:t>
            </w:r>
          </w:p>
        </w:tc>
        <w:tc>
          <w:tcPr>
            <w:tcW w:w="851" w:type="dxa"/>
            <w:noWrap/>
            <w:hideMark/>
          </w:tcPr>
          <w:p w14:paraId="6C77A1E2" w14:textId="4A67AA3C" w:rsidR="00A1698A" w:rsidRPr="000435EE" w:rsidRDefault="00A1698A" w:rsidP="000F53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lang w:eastAsia="fi-FI"/>
              </w:rPr>
            </w:pPr>
            <w:r w:rsidRPr="000435EE">
              <w:rPr>
                <w:rFonts w:ascii="Calibri" w:eastAsia="Times New Roman" w:hAnsi="Calibri" w:cs="Calibri"/>
                <w:sz w:val="22"/>
                <w:lang w:eastAsia="fi-FI"/>
              </w:rPr>
              <w:t xml:space="preserve">85,0 </w:t>
            </w:r>
            <w:r w:rsidR="000F535A" w:rsidRPr="000435EE">
              <w:rPr>
                <w:rFonts w:ascii="Calibri" w:eastAsia="Times New Roman" w:hAnsi="Calibri" w:cs="Calibri"/>
                <w:sz w:val="22"/>
                <w:lang w:eastAsia="fi-FI"/>
              </w:rPr>
              <w:t>%</w:t>
            </w:r>
          </w:p>
        </w:tc>
        <w:tc>
          <w:tcPr>
            <w:tcW w:w="850" w:type="dxa"/>
            <w:noWrap/>
            <w:hideMark/>
          </w:tcPr>
          <w:p w14:paraId="448A3D55" w14:textId="05FAA840" w:rsidR="00A1698A" w:rsidRPr="000435EE" w:rsidRDefault="00A1698A" w:rsidP="000F53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lang w:eastAsia="fi-FI"/>
              </w:rPr>
            </w:pPr>
            <w:r w:rsidRPr="000435EE">
              <w:rPr>
                <w:rFonts w:ascii="Calibri" w:eastAsia="Times New Roman" w:hAnsi="Calibri" w:cs="Calibri"/>
                <w:sz w:val="22"/>
                <w:lang w:eastAsia="fi-FI"/>
              </w:rPr>
              <w:t xml:space="preserve">89,2 </w:t>
            </w:r>
            <w:r w:rsidR="000F535A" w:rsidRPr="000435EE">
              <w:rPr>
                <w:rFonts w:ascii="Calibri" w:eastAsia="Times New Roman" w:hAnsi="Calibri" w:cs="Calibri"/>
                <w:sz w:val="22"/>
                <w:lang w:eastAsia="fi-FI"/>
              </w:rPr>
              <w:t>%</w:t>
            </w:r>
          </w:p>
        </w:tc>
        <w:tc>
          <w:tcPr>
            <w:tcW w:w="992" w:type="dxa"/>
            <w:noWrap/>
            <w:hideMark/>
          </w:tcPr>
          <w:p w14:paraId="065FC4D1" w14:textId="7C155AAA" w:rsidR="00A1698A" w:rsidRPr="000435EE" w:rsidRDefault="00A1698A" w:rsidP="000F53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lang w:eastAsia="fi-FI"/>
              </w:rPr>
            </w:pPr>
            <w:r w:rsidRPr="000435EE">
              <w:rPr>
                <w:rFonts w:ascii="Calibri" w:eastAsia="Times New Roman" w:hAnsi="Calibri" w:cs="Calibri"/>
                <w:sz w:val="22"/>
                <w:lang w:eastAsia="fi-FI"/>
              </w:rPr>
              <w:t xml:space="preserve">59,8 </w:t>
            </w:r>
            <w:r w:rsidR="000F535A" w:rsidRPr="000435EE">
              <w:rPr>
                <w:rFonts w:ascii="Calibri" w:eastAsia="Times New Roman" w:hAnsi="Calibri" w:cs="Calibri"/>
                <w:sz w:val="22"/>
                <w:lang w:eastAsia="fi-FI"/>
              </w:rPr>
              <w:t>%</w:t>
            </w:r>
          </w:p>
        </w:tc>
        <w:tc>
          <w:tcPr>
            <w:tcW w:w="850" w:type="dxa"/>
            <w:noWrap/>
          </w:tcPr>
          <w:p w14:paraId="230E3EB9" w14:textId="36EC70C5" w:rsidR="00A1698A" w:rsidRPr="000435EE" w:rsidRDefault="00243B89" w:rsidP="000F53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lang w:eastAsia="fi-FI"/>
              </w:rPr>
            </w:pPr>
            <w:r w:rsidRPr="000435EE">
              <w:rPr>
                <w:rFonts w:ascii="Calibri" w:eastAsia="Times New Roman" w:hAnsi="Calibri" w:cs="Calibri"/>
                <w:sz w:val="22"/>
                <w:lang w:eastAsia="fi-FI"/>
              </w:rPr>
              <w:t>60</w:t>
            </w:r>
            <w:r w:rsidR="000F535A" w:rsidRPr="000435EE">
              <w:rPr>
                <w:rFonts w:ascii="Calibri" w:eastAsia="Times New Roman" w:hAnsi="Calibri" w:cs="Calibri"/>
                <w:sz w:val="22"/>
                <w:lang w:eastAsia="fi-FI"/>
              </w:rPr>
              <w:t>,3</w:t>
            </w:r>
            <w:r w:rsidRPr="000435EE">
              <w:rPr>
                <w:rFonts w:ascii="Calibri" w:eastAsia="Times New Roman" w:hAnsi="Calibri" w:cs="Calibri"/>
                <w:sz w:val="22"/>
                <w:lang w:eastAsia="fi-FI"/>
              </w:rPr>
              <w:t xml:space="preserve"> %</w:t>
            </w:r>
          </w:p>
        </w:tc>
      </w:tr>
      <w:tr w:rsidR="000435EE" w:rsidRPr="000435EE" w14:paraId="29FE98DA" w14:textId="77777777" w:rsidTr="000F535A">
        <w:trPr>
          <w:trHeight w:val="300"/>
        </w:trPr>
        <w:tc>
          <w:tcPr>
            <w:cnfStyle w:val="001000000000" w:firstRow="0" w:lastRow="0" w:firstColumn="1" w:lastColumn="0" w:oddVBand="0" w:evenVBand="0" w:oddHBand="0" w:evenHBand="0" w:firstRowFirstColumn="0" w:firstRowLastColumn="0" w:lastRowFirstColumn="0" w:lastRowLastColumn="0"/>
            <w:tcW w:w="3402" w:type="dxa"/>
            <w:noWrap/>
            <w:hideMark/>
          </w:tcPr>
          <w:p w14:paraId="48C107FB" w14:textId="77777777" w:rsidR="00A1698A" w:rsidRPr="000435EE" w:rsidRDefault="00A1698A" w:rsidP="000F535A">
            <w:pPr>
              <w:rPr>
                <w:rFonts w:ascii="Calibri" w:eastAsia="Times New Roman" w:hAnsi="Calibri" w:cs="Calibri"/>
                <w:sz w:val="22"/>
                <w:lang w:eastAsia="fi-FI"/>
              </w:rPr>
            </w:pPr>
            <w:r w:rsidRPr="000435EE">
              <w:rPr>
                <w:rFonts w:ascii="Calibri" w:eastAsia="Times New Roman" w:hAnsi="Calibri" w:cs="Calibri"/>
                <w:sz w:val="22"/>
                <w:lang w:eastAsia="fi-FI"/>
              </w:rPr>
              <w:t>Liikevoitto-%</w:t>
            </w:r>
          </w:p>
        </w:tc>
        <w:tc>
          <w:tcPr>
            <w:tcW w:w="993" w:type="dxa"/>
            <w:noWrap/>
            <w:hideMark/>
          </w:tcPr>
          <w:p w14:paraId="305C1102" w14:textId="7E17DDAF" w:rsidR="00A1698A" w:rsidRPr="000435EE" w:rsidRDefault="00A1698A" w:rsidP="000F53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lang w:eastAsia="fi-FI"/>
              </w:rPr>
            </w:pPr>
            <w:r w:rsidRPr="000435EE">
              <w:rPr>
                <w:rFonts w:ascii="Calibri" w:eastAsia="Times New Roman" w:hAnsi="Calibri" w:cs="Calibri"/>
                <w:sz w:val="22"/>
                <w:lang w:eastAsia="fi-FI"/>
              </w:rPr>
              <w:t>3</w:t>
            </w:r>
            <w:r w:rsidR="000F535A" w:rsidRPr="000435EE">
              <w:rPr>
                <w:rFonts w:ascii="Calibri" w:eastAsia="Times New Roman" w:hAnsi="Calibri" w:cs="Calibri"/>
                <w:sz w:val="22"/>
                <w:lang w:eastAsia="fi-FI"/>
              </w:rPr>
              <w:t>,4</w:t>
            </w:r>
            <w:r w:rsidRPr="000435EE">
              <w:rPr>
                <w:rFonts w:ascii="Calibri" w:eastAsia="Times New Roman" w:hAnsi="Calibri" w:cs="Calibri"/>
                <w:sz w:val="22"/>
                <w:lang w:eastAsia="fi-FI"/>
              </w:rPr>
              <w:t xml:space="preserve"> %</w:t>
            </w:r>
          </w:p>
        </w:tc>
        <w:tc>
          <w:tcPr>
            <w:tcW w:w="851" w:type="dxa"/>
            <w:noWrap/>
            <w:hideMark/>
          </w:tcPr>
          <w:p w14:paraId="570557FC" w14:textId="49D79FDE" w:rsidR="00A1698A" w:rsidRPr="000435EE" w:rsidRDefault="00A1698A" w:rsidP="000F53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lang w:eastAsia="fi-FI"/>
              </w:rPr>
            </w:pPr>
            <w:r w:rsidRPr="000435EE">
              <w:rPr>
                <w:rFonts w:ascii="Calibri" w:eastAsia="Times New Roman" w:hAnsi="Calibri" w:cs="Calibri"/>
                <w:sz w:val="22"/>
                <w:lang w:eastAsia="fi-FI"/>
              </w:rPr>
              <w:t>5</w:t>
            </w:r>
            <w:r w:rsidR="000F535A" w:rsidRPr="000435EE">
              <w:rPr>
                <w:rFonts w:ascii="Calibri" w:eastAsia="Times New Roman" w:hAnsi="Calibri" w:cs="Calibri"/>
                <w:sz w:val="22"/>
                <w:lang w:eastAsia="fi-FI"/>
              </w:rPr>
              <w:t>,0</w:t>
            </w:r>
            <w:r w:rsidRPr="000435EE">
              <w:rPr>
                <w:rFonts w:ascii="Calibri" w:eastAsia="Times New Roman" w:hAnsi="Calibri" w:cs="Calibri"/>
                <w:sz w:val="22"/>
                <w:lang w:eastAsia="fi-FI"/>
              </w:rPr>
              <w:t xml:space="preserve"> %</w:t>
            </w:r>
          </w:p>
        </w:tc>
        <w:tc>
          <w:tcPr>
            <w:tcW w:w="850" w:type="dxa"/>
            <w:noWrap/>
            <w:hideMark/>
          </w:tcPr>
          <w:p w14:paraId="030D4BB9" w14:textId="21423038" w:rsidR="00A1698A" w:rsidRPr="000435EE" w:rsidRDefault="00A1698A" w:rsidP="000F53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lang w:eastAsia="fi-FI"/>
              </w:rPr>
            </w:pPr>
            <w:r w:rsidRPr="000435EE">
              <w:rPr>
                <w:rFonts w:ascii="Calibri" w:eastAsia="Times New Roman" w:hAnsi="Calibri" w:cs="Calibri"/>
                <w:sz w:val="22"/>
                <w:lang w:eastAsia="fi-FI"/>
              </w:rPr>
              <w:t>3</w:t>
            </w:r>
            <w:r w:rsidR="000F535A" w:rsidRPr="000435EE">
              <w:rPr>
                <w:rFonts w:ascii="Calibri" w:eastAsia="Times New Roman" w:hAnsi="Calibri" w:cs="Calibri"/>
                <w:sz w:val="22"/>
                <w:lang w:eastAsia="fi-FI"/>
              </w:rPr>
              <w:t>,4</w:t>
            </w:r>
            <w:r w:rsidRPr="000435EE">
              <w:rPr>
                <w:rFonts w:ascii="Calibri" w:eastAsia="Times New Roman" w:hAnsi="Calibri" w:cs="Calibri"/>
                <w:sz w:val="22"/>
                <w:lang w:eastAsia="fi-FI"/>
              </w:rPr>
              <w:t xml:space="preserve"> %</w:t>
            </w:r>
          </w:p>
        </w:tc>
        <w:tc>
          <w:tcPr>
            <w:tcW w:w="992" w:type="dxa"/>
            <w:noWrap/>
            <w:hideMark/>
          </w:tcPr>
          <w:p w14:paraId="301E9E46" w14:textId="6092B356" w:rsidR="00A1698A" w:rsidRPr="000435EE" w:rsidRDefault="00A1698A" w:rsidP="000F53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lang w:eastAsia="fi-FI"/>
              </w:rPr>
            </w:pPr>
            <w:r w:rsidRPr="000435EE">
              <w:rPr>
                <w:rFonts w:ascii="Calibri" w:eastAsia="Times New Roman" w:hAnsi="Calibri" w:cs="Calibri"/>
                <w:sz w:val="22"/>
                <w:lang w:eastAsia="fi-FI"/>
              </w:rPr>
              <w:t>1</w:t>
            </w:r>
            <w:r w:rsidR="000F535A" w:rsidRPr="000435EE">
              <w:rPr>
                <w:rFonts w:ascii="Calibri" w:eastAsia="Times New Roman" w:hAnsi="Calibri" w:cs="Calibri"/>
                <w:sz w:val="22"/>
                <w:lang w:eastAsia="fi-FI"/>
              </w:rPr>
              <w:t>,4</w:t>
            </w:r>
            <w:r w:rsidRPr="000435EE">
              <w:rPr>
                <w:rFonts w:ascii="Calibri" w:eastAsia="Times New Roman" w:hAnsi="Calibri" w:cs="Calibri"/>
                <w:sz w:val="22"/>
                <w:lang w:eastAsia="fi-FI"/>
              </w:rPr>
              <w:t xml:space="preserve"> %</w:t>
            </w:r>
          </w:p>
        </w:tc>
        <w:tc>
          <w:tcPr>
            <w:tcW w:w="850" w:type="dxa"/>
            <w:noWrap/>
          </w:tcPr>
          <w:p w14:paraId="21AAA166" w14:textId="4D251E05" w:rsidR="00A1698A" w:rsidRPr="000435EE" w:rsidRDefault="000F535A" w:rsidP="000F535A">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lang w:eastAsia="fi-FI"/>
              </w:rPr>
            </w:pPr>
            <w:r w:rsidRPr="000435EE">
              <w:rPr>
                <w:rFonts w:ascii="Calibri" w:eastAsia="Times New Roman" w:hAnsi="Calibri" w:cs="Calibri"/>
                <w:sz w:val="22"/>
                <w:lang w:eastAsia="fi-FI"/>
              </w:rPr>
              <w:t>4,9</w:t>
            </w:r>
            <w:r w:rsidR="00243B89" w:rsidRPr="000435EE">
              <w:rPr>
                <w:rFonts w:ascii="Calibri" w:eastAsia="Times New Roman" w:hAnsi="Calibri" w:cs="Calibri"/>
                <w:sz w:val="22"/>
                <w:lang w:eastAsia="fi-FI"/>
              </w:rPr>
              <w:t xml:space="preserve"> %</w:t>
            </w:r>
          </w:p>
        </w:tc>
      </w:tr>
      <w:tr w:rsidR="000435EE" w:rsidRPr="000435EE" w14:paraId="125CAA63" w14:textId="77777777" w:rsidTr="000F53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noWrap/>
          </w:tcPr>
          <w:p w14:paraId="23D5B9FE" w14:textId="61D77538" w:rsidR="00A179E0" w:rsidRPr="000435EE" w:rsidRDefault="00A179E0" w:rsidP="000F535A">
            <w:pPr>
              <w:rPr>
                <w:rFonts w:ascii="Calibri" w:eastAsia="Times New Roman" w:hAnsi="Calibri" w:cs="Calibri"/>
                <w:sz w:val="22"/>
                <w:lang w:eastAsia="fi-FI"/>
              </w:rPr>
            </w:pPr>
            <w:r w:rsidRPr="000435EE">
              <w:rPr>
                <w:rFonts w:ascii="Calibri" w:eastAsia="Times New Roman" w:hAnsi="Calibri" w:cs="Calibri"/>
                <w:sz w:val="22"/>
                <w:lang w:eastAsia="fi-FI"/>
              </w:rPr>
              <w:t>Tilinpäätöspäivän osakekurssi</w:t>
            </w:r>
            <w:r w:rsidR="000F535A" w:rsidRPr="000435EE">
              <w:rPr>
                <w:rFonts w:ascii="Calibri" w:eastAsia="Times New Roman" w:hAnsi="Calibri" w:cs="Calibri"/>
                <w:sz w:val="22"/>
                <w:lang w:eastAsia="fi-FI"/>
              </w:rPr>
              <w:t>,</w:t>
            </w:r>
            <w:r w:rsidRPr="000435EE">
              <w:rPr>
                <w:rFonts w:ascii="Calibri" w:eastAsia="Times New Roman" w:hAnsi="Calibri" w:cs="Calibri"/>
                <w:sz w:val="22"/>
                <w:lang w:eastAsia="fi-FI"/>
              </w:rPr>
              <w:t xml:space="preserve"> €</w:t>
            </w:r>
          </w:p>
        </w:tc>
        <w:tc>
          <w:tcPr>
            <w:tcW w:w="993" w:type="dxa"/>
            <w:noWrap/>
          </w:tcPr>
          <w:p w14:paraId="594CFD2B" w14:textId="3A539A3E" w:rsidR="00A179E0" w:rsidRPr="000435EE" w:rsidRDefault="00E8761F" w:rsidP="000F53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lang w:eastAsia="fi-FI"/>
              </w:rPr>
            </w:pPr>
            <w:r w:rsidRPr="000435EE">
              <w:rPr>
                <w:rFonts w:ascii="Calibri" w:eastAsia="Times New Roman" w:hAnsi="Calibri" w:cs="Calibri"/>
                <w:sz w:val="22"/>
                <w:lang w:eastAsia="fi-FI"/>
              </w:rPr>
              <w:t>4,4</w:t>
            </w:r>
          </w:p>
        </w:tc>
        <w:tc>
          <w:tcPr>
            <w:tcW w:w="851" w:type="dxa"/>
            <w:noWrap/>
          </w:tcPr>
          <w:p w14:paraId="799947CA" w14:textId="1A6F245C" w:rsidR="00A179E0" w:rsidRPr="000435EE" w:rsidRDefault="00E8761F" w:rsidP="000F53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lang w:eastAsia="fi-FI"/>
              </w:rPr>
            </w:pPr>
            <w:r w:rsidRPr="000435EE">
              <w:rPr>
                <w:rFonts w:ascii="Calibri" w:eastAsia="Times New Roman" w:hAnsi="Calibri" w:cs="Calibri"/>
                <w:sz w:val="22"/>
                <w:lang w:eastAsia="fi-FI"/>
              </w:rPr>
              <w:t>3,9</w:t>
            </w:r>
          </w:p>
        </w:tc>
        <w:tc>
          <w:tcPr>
            <w:tcW w:w="850" w:type="dxa"/>
            <w:noWrap/>
          </w:tcPr>
          <w:p w14:paraId="0864032D" w14:textId="60E84B76" w:rsidR="00A179E0" w:rsidRPr="000435EE" w:rsidRDefault="00E8761F" w:rsidP="000F53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lang w:eastAsia="fi-FI"/>
              </w:rPr>
            </w:pPr>
            <w:r w:rsidRPr="000435EE">
              <w:rPr>
                <w:rFonts w:ascii="Calibri" w:eastAsia="Times New Roman" w:hAnsi="Calibri" w:cs="Calibri"/>
                <w:sz w:val="22"/>
                <w:lang w:eastAsia="fi-FI"/>
              </w:rPr>
              <w:t>4,9</w:t>
            </w:r>
          </w:p>
        </w:tc>
        <w:tc>
          <w:tcPr>
            <w:tcW w:w="992" w:type="dxa"/>
            <w:noWrap/>
          </w:tcPr>
          <w:p w14:paraId="7FDA934F" w14:textId="2A51DF00" w:rsidR="00A179E0" w:rsidRPr="000435EE" w:rsidRDefault="00E8761F" w:rsidP="000F53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lang w:eastAsia="fi-FI"/>
              </w:rPr>
            </w:pPr>
            <w:r w:rsidRPr="000435EE">
              <w:rPr>
                <w:rFonts w:ascii="Calibri" w:eastAsia="Times New Roman" w:hAnsi="Calibri" w:cs="Calibri"/>
                <w:sz w:val="22"/>
                <w:lang w:eastAsia="fi-FI"/>
              </w:rPr>
              <w:t>4,3</w:t>
            </w:r>
          </w:p>
        </w:tc>
        <w:tc>
          <w:tcPr>
            <w:tcW w:w="850" w:type="dxa"/>
            <w:noWrap/>
          </w:tcPr>
          <w:p w14:paraId="7F524637" w14:textId="55EDAB9E" w:rsidR="00A179E0" w:rsidRPr="000435EE" w:rsidRDefault="00E8761F" w:rsidP="000F535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lang w:eastAsia="fi-FI"/>
              </w:rPr>
            </w:pPr>
            <w:r w:rsidRPr="000435EE">
              <w:rPr>
                <w:rFonts w:ascii="Calibri" w:eastAsia="Times New Roman" w:hAnsi="Calibri" w:cs="Calibri"/>
                <w:sz w:val="22"/>
                <w:lang w:eastAsia="fi-FI"/>
              </w:rPr>
              <w:t>5,9</w:t>
            </w:r>
          </w:p>
        </w:tc>
      </w:tr>
    </w:tbl>
    <w:p w14:paraId="493787B8" w14:textId="77777777" w:rsidR="00CB69A5" w:rsidRPr="000435EE" w:rsidRDefault="00CB69A5" w:rsidP="006B47E5">
      <w:pPr>
        <w:rPr>
          <w:lang w:eastAsia="fi-FI"/>
        </w:rPr>
      </w:pPr>
    </w:p>
    <w:p w14:paraId="2E24FA9C" w14:textId="77777777" w:rsidR="00CB69A5" w:rsidRPr="000435EE" w:rsidRDefault="00CB69A5" w:rsidP="006B47E5">
      <w:pPr>
        <w:rPr>
          <w:lang w:eastAsia="fi-FI"/>
        </w:rPr>
      </w:pPr>
    </w:p>
    <w:p w14:paraId="61977C44" w14:textId="77777777" w:rsidR="00CB69A5" w:rsidRPr="000435EE" w:rsidRDefault="00CB69A5" w:rsidP="006B47E5">
      <w:pPr>
        <w:rPr>
          <w:lang w:eastAsia="fi-FI"/>
        </w:rPr>
      </w:pPr>
    </w:p>
    <w:p w14:paraId="5D35B253" w14:textId="0FD3BE02" w:rsidR="00BB63FF" w:rsidRPr="000435EE" w:rsidRDefault="00BB63FF" w:rsidP="006359E5"/>
    <w:p w14:paraId="492D03E1" w14:textId="77777777" w:rsidR="00505301" w:rsidRPr="000435EE" w:rsidRDefault="00505301" w:rsidP="006B47E5">
      <w:pPr>
        <w:pStyle w:val="Luettelokappale"/>
        <w:ind w:left="1440"/>
      </w:pPr>
    </w:p>
    <w:p w14:paraId="6ED5C09D" w14:textId="77777777" w:rsidR="00D91F63" w:rsidRDefault="00D91F63" w:rsidP="00EA6702">
      <w:pPr>
        <w:pStyle w:val="Otsikko2"/>
      </w:pPr>
    </w:p>
    <w:p w14:paraId="05F95968" w14:textId="20155E77" w:rsidR="006B47E5" w:rsidRPr="000435EE" w:rsidRDefault="006B47E5" w:rsidP="00EA6702">
      <w:pPr>
        <w:pStyle w:val="Otsikko2"/>
        <w:rPr>
          <w:color w:val="auto"/>
        </w:rPr>
      </w:pPr>
      <w:r w:rsidRPr="00254271">
        <w:t xml:space="preserve">Hallituksen </w:t>
      </w:r>
      <w:r w:rsidRPr="000435EE">
        <w:rPr>
          <w:color w:val="auto"/>
        </w:rPr>
        <w:t>palkkiot tilikaudella 202</w:t>
      </w:r>
      <w:r w:rsidR="00254271" w:rsidRPr="000435EE">
        <w:rPr>
          <w:color w:val="auto"/>
        </w:rPr>
        <w:t>1</w:t>
      </w:r>
    </w:p>
    <w:p w14:paraId="49E7A47A" w14:textId="684AD166" w:rsidR="006B47E5" w:rsidRPr="000435EE" w:rsidRDefault="006B47E5" w:rsidP="006B47E5">
      <w:pPr>
        <w:pStyle w:val="Luettelokappale"/>
        <w:ind w:left="1304"/>
      </w:pPr>
    </w:p>
    <w:p w14:paraId="325E74C2" w14:textId="160BFE0D" w:rsidR="009860A2" w:rsidRPr="000435EE" w:rsidRDefault="009860A2" w:rsidP="009860A2">
      <w:pPr>
        <w:ind w:left="1440"/>
        <w:rPr>
          <w:szCs w:val="20"/>
        </w:rPr>
      </w:pPr>
      <w:r w:rsidRPr="000435EE">
        <w:rPr>
          <w:szCs w:val="20"/>
        </w:rPr>
        <w:t xml:space="preserve">Nimitystoimikunnan ehdotuksen mukaisesti yhtiökokous päätti, että toimikaudella 2021 jatkoi hallitus vuoden 2020 kokoonpanolla. Hallitus valitsi keskuudestaan puheenjohtajaksi Vesa Tuomen ja varapuheenjohtajaksi Veli-Matti Kärkkäisen. </w:t>
      </w:r>
      <w:r w:rsidR="003A70C2" w:rsidRPr="000435EE">
        <w:rPr>
          <w:szCs w:val="20"/>
        </w:rPr>
        <w:t>9.3.2021 pidetty y</w:t>
      </w:r>
      <w:r w:rsidRPr="000435EE">
        <w:rPr>
          <w:szCs w:val="20"/>
        </w:rPr>
        <w:t>htiökokous päätti pitää hallituksen palkkiot ennallaan</w:t>
      </w:r>
      <w:r w:rsidR="003A70C2" w:rsidRPr="000435EE">
        <w:rPr>
          <w:szCs w:val="20"/>
        </w:rPr>
        <w:t xml:space="preserve"> nimitysvaliokunnan esityksen mukaisesti</w:t>
      </w:r>
      <w:r w:rsidRPr="000435EE">
        <w:rPr>
          <w:szCs w:val="20"/>
        </w:rPr>
        <w:t xml:space="preserve">. </w:t>
      </w:r>
    </w:p>
    <w:p w14:paraId="19502314" w14:textId="77777777" w:rsidR="009860A2" w:rsidRPr="000435EE" w:rsidRDefault="009860A2" w:rsidP="006B47E5">
      <w:pPr>
        <w:pStyle w:val="Luettelokappale"/>
        <w:ind w:left="1304"/>
      </w:pPr>
    </w:p>
    <w:p w14:paraId="6E835EC0" w14:textId="53C8B50B" w:rsidR="00C84E57" w:rsidRDefault="00C84E57" w:rsidP="00F10339">
      <w:pPr>
        <w:ind w:left="1440"/>
      </w:pPr>
      <w:r w:rsidRPr="000435EE">
        <w:t>Hallituksen jäsenet eivät ole työsuhteessa yhtiöön</w:t>
      </w:r>
      <w:r w:rsidR="001554A6" w:rsidRPr="000435EE">
        <w:t xml:space="preserve"> eivätkä he siten kuulu työsuhteisten palkkiojärjestelmien piiriin. </w:t>
      </w:r>
      <w:r w:rsidR="006A2B80" w:rsidRPr="000435EE">
        <w:t xml:space="preserve">Hallitukselle ei makseta palkkioita osakkeina. </w:t>
      </w:r>
      <w:r w:rsidR="001554A6" w:rsidRPr="000435EE">
        <w:t xml:space="preserve">Hallituksen jäsenten </w:t>
      </w:r>
      <w:r w:rsidR="001554A6" w:rsidRPr="00C84E57">
        <w:t>matkakulut ja päivärahat korvataan yhtiön matkustusohjeen mukaisesti.</w:t>
      </w:r>
    </w:p>
    <w:p w14:paraId="00EBC535" w14:textId="77777777" w:rsidR="003A70C2" w:rsidRDefault="003A70C2" w:rsidP="00F10339">
      <w:pPr>
        <w:ind w:left="1440"/>
      </w:pPr>
    </w:p>
    <w:p w14:paraId="3CBEBC15" w14:textId="6D2FD501" w:rsidR="00063F97" w:rsidRPr="000435EE" w:rsidRDefault="003A70C2" w:rsidP="00063F97">
      <w:pPr>
        <w:ind w:left="1440"/>
      </w:pPr>
      <w:r>
        <w:lastRenderedPageBreak/>
        <w:t>H</w:t>
      </w:r>
      <w:r w:rsidR="006B47E5" w:rsidRPr="00C84E57">
        <w:t>allituksen puheenjohtaja</w:t>
      </w:r>
      <w:r>
        <w:t>n palkkio oli</w:t>
      </w:r>
      <w:r w:rsidR="006B47E5" w:rsidRPr="00C84E57">
        <w:t xml:space="preserve"> 33 tuhatta euroa</w:t>
      </w:r>
      <w:r>
        <w:t>. H</w:t>
      </w:r>
      <w:r w:rsidR="006B47E5" w:rsidRPr="00C84E57">
        <w:t xml:space="preserve">allituksen varapuheenjohtajalle </w:t>
      </w:r>
      <w:r w:rsidR="006B47E5" w:rsidRPr="000435EE">
        <w:t>sekä hallituksen jäsenille</w:t>
      </w:r>
      <w:r w:rsidRPr="000435EE">
        <w:t xml:space="preserve"> palkkio oli</w:t>
      </w:r>
      <w:r w:rsidR="006B47E5" w:rsidRPr="000435EE">
        <w:t xml:space="preserve"> 16,5 tuhatta.</w:t>
      </w:r>
      <w:r w:rsidR="00063F97" w:rsidRPr="000435EE">
        <w:t xml:space="preserve"> Valiokunta- ja toimikuntatyöskentelyn palkkio sisältyy vuosipalkkioon. Kulukorvaukset maksetaan verotussäännösten ja toteutuneiden kustannusten pohjalta. Hallitus ei saa muita taloudellisia etuuksia.</w:t>
      </w:r>
    </w:p>
    <w:p w14:paraId="557AE3B8" w14:textId="1EFA4827" w:rsidR="006B47E5" w:rsidRPr="000435EE" w:rsidRDefault="006B47E5" w:rsidP="00063F97"/>
    <w:tbl>
      <w:tblPr>
        <w:tblW w:w="6434" w:type="dxa"/>
        <w:tblInd w:w="151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40"/>
        <w:gridCol w:w="1282"/>
        <w:gridCol w:w="1212"/>
      </w:tblGrid>
      <w:tr w:rsidR="00B30805" w:rsidRPr="001C2EBE" w14:paraId="7027E7A3" w14:textId="77777777" w:rsidTr="00B30805">
        <w:trPr>
          <w:trHeight w:val="300"/>
        </w:trPr>
        <w:tc>
          <w:tcPr>
            <w:tcW w:w="3940" w:type="dxa"/>
            <w:tcBorders>
              <w:top w:val="outset" w:sz="6" w:space="0" w:color="auto"/>
              <w:left w:val="outset" w:sz="6" w:space="0" w:color="auto"/>
              <w:bottom w:val="outset" w:sz="6" w:space="0" w:color="auto"/>
              <w:right w:val="outset" w:sz="6" w:space="0" w:color="auto"/>
            </w:tcBorders>
            <w:tcMar>
              <w:top w:w="0" w:type="dxa"/>
              <w:left w:w="96" w:type="dxa"/>
              <w:bottom w:w="0" w:type="dxa"/>
              <w:right w:w="96" w:type="dxa"/>
            </w:tcMar>
            <w:vAlign w:val="bottom"/>
          </w:tcPr>
          <w:p w14:paraId="667EE448" w14:textId="7D64A596" w:rsidR="00B30805" w:rsidRPr="0087086C" w:rsidRDefault="00B30805" w:rsidP="00607868">
            <w:pPr>
              <w:spacing w:before="100" w:beforeAutospacing="1" w:after="100" w:afterAutospacing="1"/>
              <w:rPr>
                <w:lang w:eastAsia="fi-FI"/>
              </w:rPr>
            </w:pPr>
            <w:r w:rsidRPr="0087086C">
              <w:rPr>
                <w:rFonts w:ascii="Arial" w:eastAsia="Times New Roman" w:hAnsi="Arial" w:cs="Arial"/>
                <w:szCs w:val="20"/>
                <w:lang w:eastAsia="fi-FI"/>
              </w:rPr>
              <w:t xml:space="preserve">Hallituksen palkkiot vuonna 2021, </w:t>
            </w:r>
            <w:r w:rsidR="00C13B12" w:rsidRPr="0087086C">
              <w:rPr>
                <w:rFonts w:ascii="Arial" w:eastAsia="Times New Roman" w:hAnsi="Arial" w:cs="Arial"/>
                <w:szCs w:val="20"/>
                <w:lang w:eastAsia="fi-FI"/>
              </w:rPr>
              <w:t>1 000 €</w:t>
            </w:r>
          </w:p>
        </w:tc>
        <w:tc>
          <w:tcPr>
            <w:tcW w:w="1282" w:type="dxa"/>
            <w:tcBorders>
              <w:top w:val="outset" w:sz="6" w:space="0" w:color="auto"/>
              <w:left w:val="outset" w:sz="6" w:space="0" w:color="auto"/>
              <w:bottom w:val="outset" w:sz="6" w:space="0" w:color="auto"/>
              <w:right w:val="outset" w:sz="6" w:space="0" w:color="auto"/>
            </w:tcBorders>
            <w:tcMar>
              <w:top w:w="0" w:type="dxa"/>
              <w:left w:w="96" w:type="dxa"/>
              <w:bottom w:w="0" w:type="dxa"/>
              <w:right w:w="96" w:type="dxa"/>
            </w:tcMar>
            <w:vAlign w:val="bottom"/>
          </w:tcPr>
          <w:p w14:paraId="2D088137" w14:textId="605DC119" w:rsidR="00B30805" w:rsidRPr="0087086C" w:rsidRDefault="00B30805" w:rsidP="00607868">
            <w:pPr>
              <w:spacing w:before="100" w:beforeAutospacing="1" w:after="100" w:afterAutospacing="1"/>
              <w:rPr>
                <w:rFonts w:ascii="Arial" w:eastAsia="Times New Roman" w:hAnsi="Arial" w:cs="Arial"/>
                <w:szCs w:val="20"/>
                <w:lang w:eastAsia="fi-FI"/>
              </w:rPr>
            </w:pPr>
            <w:r w:rsidRPr="0087086C">
              <w:rPr>
                <w:rFonts w:ascii="Arial" w:eastAsia="Times New Roman" w:hAnsi="Arial" w:cs="Arial"/>
                <w:szCs w:val="20"/>
                <w:lang w:eastAsia="fi-FI"/>
              </w:rPr>
              <w:t xml:space="preserve">kiinteä vuosipalkkio </w:t>
            </w:r>
          </w:p>
        </w:tc>
        <w:tc>
          <w:tcPr>
            <w:tcW w:w="1212" w:type="dxa"/>
            <w:tcBorders>
              <w:top w:val="outset" w:sz="6" w:space="0" w:color="auto"/>
              <w:left w:val="outset" w:sz="6" w:space="0" w:color="auto"/>
              <w:bottom w:val="outset" w:sz="6" w:space="0" w:color="auto"/>
              <w:right w:val="outset" w:sz="6" w:space="0" w:color="auto"/>
            </w:tcBorders>
          </w:tcPr>
          <w:p w14:paraId="3A51D367" w14:textId="77777777" w:rsidR="00B30805" w:rsidRPr="0087086C" w:rsidRDefault="00B30805" w:rsidP="00607868">
            <w:pPr>
              <w:spacing w:before="100" w:beforeAutospacing="1" w:after="100" w:afterAutospacing="1"/>
              <w:rPr>
                <w:rFonts w:ascii="Arial" w:eastAsia="Times New Roman" w:hAnsi="Arial" w:cs="Arial"/>
                <w:szCs w:val="20"/>
                <w:lang w:eastAsia="fi-FI"/>
              </w:rPr>
            </w:pPr>
            <w:r w:rsidRPr="0087086C">
              <w:rPr>
                <w:rFonts w:ascii="Arial" w:eastAsia="Times New Roman" w:hAnsi="Arial" w:cs="Arial"/>
                <w:szCs w:val="20"/>
                <w:lang w:eastAsia="fi-FI"/>
              </w:rPr>
              <w:t>maksutapa</w:t>
            </w:r>
          </w:p>
        </w:tc>
      </w:tr>
      <w:tr w:rsidR="00B30805" w:rsidRPr="001C2EBE" w14:paraId="15DAF98D" w14:textId="77777777" w:rsidTr="00B30805">
        <w:trPr>
          <w:trHeight w:val="300"/>
        </w:trPr>
        <w:tc>
          <w:tcPr>
            <w:tcW w:w="3940" w:type="dxa"/>
            <w:tcBorders>
              <w:top w:val="outset" w:sz="6" w:space="0" w:color="auto"/>
              <w:left w:val="outset" w:sz="6" w:space="0" w:color="auto"/>
              <w:bottom w:val="outset" w:sz="6" w:space="0" w:color="auto"/>
              <w:right w:val="outset" w:sz="6" w:space="0" w:color="auto"/>
            </w:tcBorders>
            <w:tcMar>
              <w:top w:w="0" w:type="dxa"/>
              <w:left w:w="96" w:type="dxa"/>
              <w:bottom w:w="0" w:type="dxa"/>
              <w:right w:w="96" w:type="dxa"/>
            </w:tcMar>
            <w:vAlign w:val="bottom"/>
          </w:tcPr>
          <w:p w14:paraId="1E679760" w14:textId="3CCBC094" w:rsidR="00B30805" w:rsidRPr="0087086C" w:rsidRDefault="00B30805" w:rsidP="00B30805">
            <w:pPr>
              <w:rPr>
                <w:rFonts w:ascii="Arial" w:eastAsia="Times New Roman" w:hAnsi="Arial" w:cs="Arial"/>
                <w:szCs w:val="20"/>
                <w:lang w:eastAsia="fi-FI"/>
              </w:rPr>
            </w:pPr>
            <w:r w:rsidRPr="0087086C">
              <w:rPr>
                <w:rFonts w:ascii="Arial" w:eastAsia="Times New Roman" w:hAnsi="Arial" w:cs="Arial"/>
                <w:szCs w:val="20"/>
                <w:lang w:eastAsia="fi-FI"/>
              </w:rPr>
              <w:t xml:space="preserve">  Tuomi Vesa</w:t>
            </w:r>
            <w:r>
              <w:rPr>
                <w:rFonts w:ascii="Arial" w:eastAsia="Times New Roman" w:hAnsi="Arial" w:cs="Arial"/>
                <w:szCs w:val="20"/>
                <w:lang w:eastAsia="fi-FI"/>
              </w:rPr>
              <w:t>, pj.</w:t>
            </w:r>
          </w:p>
        </w:tc>
        <w:tc>
          <w:tcPr>
            <w:tcW w:w="1282" w:type="dxa"/>
            <w:tcBorders>
              <w:top w:val="outset" w:sz="6" w:space="0" w:color="auto"/>
              <w:left w:val="outset" w:sz="6" w:space="0" w:color="auto"/>
              <w:bottom w:val="outset" w:sz="6" w:space="0" w:color="auto"/>
              <w:right w:val="outset" w:sz="6" w:space="0" w:color="auto"/>
            </w:tcBorders>
            <w:tcMar>
              <w:top w:w="0" w:type="dxa"/>
              <w:left w:w="96" w:type="dxa"/>
              <w:bottom w:w="0" w:type="dxa"/>
              <w:right w:w="96" w:type="dxa"/>
            </w:tcMar>
            <w:vAlign w:val="bottom"/>
          </w:tcPr>
          <w:p w14:paraId="00D9E3C3" w14:textId="3F6AFE8B" w:rsidR="00B30805" w:rsidRPr="0087086C" w:rsidRDefault="00B30805" w:rsidP="00B30805">
            <w:pPr>
              <w:jc w:val="right"/>
              <w:rPr>
                <w:rFonts w:ascii="Arial" w:eastAsia="Times New Roman" w:hAnsi="Arial" w:cs="Arial"/>
                <w:szCs w:val="20"/>
                <w:lang w:eastAsia="fi-FI"/>
              </w:rPr>
            </w:pPr>
            <w:r w:rsidRPr="0087086C">
              <w:rPr>
                <w:rFonts w:ascii="Arial" w:eastAsia="Times New Roman" w:hAnsi="Arial" w:cs="Arial"/>
                <w:szCs w:val="20"/>
                <w:lang w:eastAsia="fi-FI"/>
              </w:rPr>
              <w:t>31,6</w:t>
            </w:r>
          </w:p>
        </w:tc>
        <w:tc>
          <w:tcPr>
            <w:tcW w:w="1212" w:type="dxa"/>
            <w:tcBorders>
              <w:top w:val="outset" w:sz="6" w:space="0" w:color="auto"/>
              <w:left w:val="outset" w:sz="6" w:space="0" w:color="auto"/>
              <w:bottom w:val="outset" w:sz="6" w:space="0" w:color="auto"/>
              <w:right w:val="outset" w:sz="6" w:space="0" w:color="auto"/>
            </w:tcBorders>
          </w:tcPr>
          <w:p w14:paraId="42035B86" w14:textId="06B3E79A" w:rsidR="00B30805" w:rsidRPr="0087086C" w:rsidRDefault="00B30805" w:rsidP="00BF6A42">
            <w:pPr>
              <w:jc w:val="center"/>
              <w:rPr>
                <w:rFonts w:ascii="Arial" w:eastAsia="Times New Roman" w:hAnsi="Arial" w:cs="Arial"/>
                <w:szCs w:val="20"/>
                <w:lang w:eastAsia="fi-FI"/>
              </w:rPr>
            </w:pPr>
            <w:r w:rsidRPr="0087086C">
              <w:rPr>
                <w:rFonts w:ascii="Arial" w:eastAsia="Times New Roman" w:hAnsi="Arial" w:cs="Arial"/>
                <w:szCs w:val="20"/>
                <w:lang w:eastAsia="fi-FI"/>
              </w:rPr>
              <w:t>rahana</w:t>
            </w:r>
          </w:p>
        </w:tc>
      </w:tr>
      <w:tr w:rsidR="00B30805" w:rsidRPr="001C2EBE" w14:paraId="0FDFAD0A" w14:textId="77777777" w:rsidTr="00B30805">
        <w:tc>
          <w:tcPr>
            <w:tcW w:w="3940" w:type="dxa"/>
            <w:tcBorders>
              <w:top w:val="outset" w:sz="6" w:space="0" w:color="auto"/>
              <w:left w:val="outset" w:sz="6" w:space="0" w:color="auto"/>
              <w:bottom w:val="outset" w:sz="6" w:space="0" w:color="auto"/>
              <w:right w:val="outset" w:sz="6" w:space="0" w:color="auto"/>
            </w:tcBorders>
            <w:tcMar>
              <w:top w:w="0" w:type="dxa"/>
              <w:left w:w="96" w:type="dxa"/>
              <w:bottom w:w="0" w:type="dxa"/>
              <w:right w:w="96" w:type="dxa"/>
            </w:tcMar>
            <w:vAlign w:val="bottom"/>
          </w:tcPr>
          <w:p w14:paraId="45EE5485" w14:textId="333CC12E" w:rsidR="00B30805" w:rsidRPr="0087086C" w:rsidRDefault="00B30805" w:rsidP="00B30805">
            <w:pPr>
              <w:rPr>
                <w:rFonts w:ascii="Arial" w:eastAsia="Times New Roman" w:hAnsi="Arial" w:cs="Arial"/>
                <w:szCs w:val="20"/>
                <w:lang w:eastAsia="fi-FI"/>
              </w:rPr>
            </w:pPr>
            <w:r w:rsidRPr="0087086C">
              <w:rPr>
                <w:rFonts w:ascii="Arial" w:eastAsia="Times New Roman" w:hAnsi="Arial" w:cs="Arial"/>
                <w:szCs w:val="20"/>
                <w:lang w:eastAsia="fi-FI"/>
              </w:rPr>
              <w:t>  Kärkkäinen Veli-Matti</w:t>
            </w:r>
            <w:r>
              <w:rPr>
                <w:rFonts w:ascii="Arial" w:eastAsia="Times New Roman" w:hAnsi="Arial" w:cs="Arial"/>
                <w:szCs w:val="20"/>
                <w:lang w:eastAsia="fi-FI"/>
              </w:rPr>
              <w:t>, vpj.</w:t>
            </w:r>
          </w:p>
        </w:tc>
        <w:tc>
          <w:tcPr>
            <w:tcW w:w="1282" w:type="dxa"/>
            <w:tcBorders>
              <w:top w:val="outset" w:sz="6" w:space="0" w:color="auto"/>
              <w:left w:val="outset" w:sz="6" w:space="0" w:color="auto"/>
              <w:bottom w:val="outset" w:sz="6" w:space="0" w:color="auto"/>
              <w:right w:val="outset" w:sz="6" w:space="0" w:color="auto"/>
            </w:tcBorders>
            <w:tcMar>
              <w:top w:w="0" w:type="dxa"/>
              <w:left w:w="96" w:type="dxa"/>
              <w:bottom w:w="0" w:type="dxa"/>
              <w:right w:w="96" w:type="dxa"/>
            </w:tcMar>
            <w:vAlign w:val="bottom"/>
          </w:tcPr>
          <w:p w14:paraId="632D5957" w14:textId="47DDE506" w:rsidR="00B30805" w:rsidRPr="0087086C" w:rsidRDefault="00B30805" w:rsidP="00B30805">
            <w:pPr>
              <w:jc w:val="right"/>
              <w:rPr>
                <w:rFonts w:ascii="Arial" w:eastAsia="Times New Roman" w:hAnsi="Arial" w:cs="Arial"/>
                <w:szCs w:val="20"/>
                <w:lang w:eastAsia="fi-FI"/>
              </w:rPr>
            </w:pPr>
            <w:r w:rsidRPr="0087086C">
              <w:rPr>
                <w:rFonts w:ascii="Arial" w:eastAsia="Times New Roman" w:hAnsi="Arial" w:cs="Arial"/>
                <w:szCs w:val="20"/>
                <w:lang w:eastAsia="fi-FI"/>
              </w:rPr>
              <w:t>19,3</w:t>
            </w:r>
          </w:p>
        </w:tc>
        <w:tc>
          <w:tcPr>
            <w:tcW w:w="1212" w:type="dxa"/>
            <w:tcBorders>
              <w:top w:val="outset" w:sz="6" w:space="0" w:color="auto"/>
              <w:left w:val="outset" w:sz="6" w:space="0" w:color="auto"/>
              <w:bottom w:val="outset" w:sz="6" w:space="0" w:color="auto"/>
              <w:right w:val="outset" w:sz="6" w:space="0" w:color="auto"/>
            </w:tcBorders>
          </w:tcPr>
          <w:p w14:paraId="5DC95571" w14:textId="77777777" w:rsidR="00B30805" w:rsidRPr="0087086C" w:rsidRDefault="00B30805" w:rsidP="00BF6A42">
            <w:pPr>
              <w:jc w:val="center"/>
              <w:rPr>
                <w:rFonts w:ascii="Arial" w:eastAsia="Times New Roman" w:hAnsi="Arial" w:cs="Arial"/>
                <w:szCs w:val="20"/>
                <w:lang w:eastAsia="fi-FI"/>
              </w:rPr>
            </w:pPr>
            <w:r w:rsidRPr="0087086C">
              <w:rPr>
                <w:rFonts w:ascii="Arial" w:eastAsia="Times New Roman" w:hAnsi="Arial" w:cs="Arial"/>
                <w:szCs w:val="20"/>
                <w:lang w:eastAsia="fi-FI"/>
              </w:rPr>
              <w:t>rahana</w:t>
            </w:r>
          </w:p>
        </w:tc>
      </w:tr>
      <w:tr w:rsidR="00B30805" w:rsidRPr="001C2EBE" w14:paraId="382C1356" w14:textId="77777777" w:rsidTr="00B30805">
        <w:tc>
          <w:tcPr>
            <w:tcW w:w="3940" w:type="dxa"/>
            <w:tcBorders>
              <w:top w:val="outset" w:sz="6" w:space="0" w:color="auto"/>
              <w:left w:val="outset" w:sz="6" w:space="0" w:color="auto"/>
              <w:bottom w:val="outset" w:sz="6" w:space="0" w:color="auto"/>
              <w:right w:val="outset" w:sz="6" w:space="0" w:color="auto"/>
            </w:tcBorders>
            <w:tcMar>
              <w:top w:w="0" w:type="dxa"/>
              <w:left w:w="96" w:type="dxa"/>
              <w:bottom w:w="0" w:type="dxa"/>
              <w:right w:w="96" w:type="dxa"/>
            </w:tcMar>
            <w:vAlign w:val="bottom"/>
            <w:hideMark/>
          </w:tcPr>
          <w:p w14:paraId="12FE1C12" w14:textId="77777777" w:rsidR="00B30805" w:rsidRPr="0087086C" w:rsidRDefault="00B30805" w:rsidP="00B30805">
            <w:pPr>
              <w:rPr>
                <w:rFonts w:ascii="Arial" w:eastAsia="Times New Roman" w:hAnsi="Arial" w:cs="Arial"/>
                <w:szCs w:val="20"/>
                <w:lang w:eastAsia="fi-FI"/>
              </w:rPr>
            </w:pPr>
            <w:r w:rsidRPr="0087086C">
              <w:rPr>
                <w:rFonts w:ascii="Arial" w:eastAsia="Times New Roman" w:hAnsi="Arial" w:cs="Arial"/>
                <w:szCs w:val="20"/>
                <w:lang w:eastAsia="fi-FI"/>
              </w:rPr>
              <w:t>  Paajanen Jouni</w:t>
            </w:r>
          </w:p>
        </w:tc>
        <w:tc>
          <w:tcPr>
            <w:tcW w:w="1282" w:type="dxa"/>
            <w:tcBorders>
              <w:top w:val="outset" w:sz="6" w:space="0" w:color="auto"/>
              <w:left w:val="outset" w:sz="6" w:space="0" w:color="auto"/>
              <w:bottom w:val="outset" w:sz="6" w:space="0" w:color="auto"/>
              <w:right w:val="outset" w:sz="6" w:space="0" w:color="auto"/>
            </w:tcBorders>
            <w:tcMar>
              <w:top w:w="0" w:type="dxa"/>
              <w:left w:w="96" w:type="dxa"/>
              <w:bottom w:w="0" w:type="dxa"/>
              <w:right w:w="96" w:type="dxa"/>
            </w:tcMar>
            <w:vAlign w:val="bottom"/>
            <w:hideMark/>
          </w:tcPr>
          <w:p w14:paraId="3987A44C" w14:textId="16E9BB0E" w:rsidR="00B30805" w:rsidRPr="0087086C" w:rsidRDefault="00B30805" w:rsidP="00B30805">
            <w:pPr>
              <w:jc w:val="right"/>
              <w:rPr>
                <w:rFonts w:ascii="Arial" w:eastAsia="Times New Roman" w:hAnsi="Arial" w:cs="Arial"/>
                <w:szCs w:val="20"/>
                <w:lang w:eastAsia="fi-FI"/>
              </w:rPr>
            </w:pPr>
            <w:r w:rsidRPr="0087086C">
              <w:rPr>
                <w:rFonts w:ascii="Arial" w:eastAsia="Times New Roman" w:hAnsi="Arial" w:cs="Arial"/>
                <w:szCs w:val="20"/>
                <w:lang w:eastAsia="fi-FI"/>
              </w:rPr>
              <w:t>17,9</w:t>
            </w:r>
          </w:p>
        </w:tc>
        <w:tc>
          <w:tcPr>
            <w:tcW w:w="1212" w:type="dxa"/>
            <w:tcBorders>
              <w:top w:val="outset" w:sz="6" w:space="0" w:color="auto"/>
              <w:left w:val="outset" w:sz="6" w:space="0" w:color="auto"/>
              <w:bottom w:val="outset" w:sz="6" w:space="0" w:color="auto"/>
              <w:right w:val="outset" w:sz="6" w:space="0" w:color="auto"/>
            </w:tcBorders>
          </w:tcPr>
          <w:p w14:paraId="23B6D592" w14:textId="77777777" w:rsidR="00B30805" w:rsidRPr="0087086C" w:rsidRDefault="00B30805" w:rsidP="00BF6A42">
            <w:pPr>
              <w:spacing w:before="100" w:beforeAutospacing="1" w:after="100" w:afterAutospacing="1"/>
              <w:jc w:val="center"/>
              <w:rPr>
                <w:rFonts w:ascii="Arial" w:eastAsia="Times New Roman" w:hAnsi="Arial" w:cs="Arial"/>
                <w:szCs w:val="20"/>
                <w:lang w:eastAsia="fi-FI"/>
              </w:rPr>
            </w:pPr>
            <w:r w:rsidRPr="0087086C">
              <w:rPr>
                <w:rFonts w:ascii="Arial" w:eastAsia="Times New Roman" w:hAnsi="Arial" w:cs="Arial"/>
                <w:szCs w:val="20"/>
                <w:lang w:eastAsia="fi-FI"/>
              </w:rPr>
              <w:t>rahana</w:t>
            </w:r>
          </w:p>
        </w:tc>
      </w:tr>
      <w:tr w:rsidR="00B30805" w:rsidRPr="001C2EBE" w14:paraId="13752042" w14:textId="77777777" w:rsidTr="00B30805">
        <w:tc>
          <w:tcPr>
            <w:tcW w:w="3940" w:type="dxa"/>
            <w:tcBorders>
              <w:top w:val="outset" w:sz="6" w:space="0" w:color="auto"/>
              <w:left w:val="outset" w:sz="6" w:space="0" w:color="auto"/>
              <w:bottom w:val="outset" w:sz="6" w:space="0" w:color="auto"/>
              <w:right w:val="outset" w:sz="6" w:space="0" w:color="auto"/>
            </w:tcBorders>
            <w:tcMar>
              <w:top w:w="0" w:type="dxa"/>
              <w:left w:w="96" w:type="dxa"/>
              <w:bottom w:w="0" w:type="dxa"/>
              <w:right w:w="96" w:type="dxa"/>
            </w:tcMar>
            <w:vAlign w:val="bottom"/>
            <w:hideMark/>
          </w:tcPr>
          <w:p w14:paraId="190F350C" w14:textId="77777777" w:rsidR="00B30805" w:rsidRPr="0087086C" w:rsidRDefault="00B30805" w:rsidP="00B30805">
            <w:pPr>
              <w:spacing w:before="100" w:beforeAutospacing="1" w:after="100" w:afterAutospacing="1"/>
              <w:rPr>
                <w:rFonts w:ascii="Arial" w:eastAsia="Times New Roman" w:hAnsi="Arial" w:cs="Arial"/>
                <w:szCs w:val="20"/>
                <w:lang w:eastAsia="fi-FI"/>
              </w:rPr>
            </w:pPr>
            <w:r w:rsidRPr="0087086C">
              <w:rPr>
                <w:rFonts w:ascii="Arial" w:eastAsia="Times New Roman" w:hAnsi="Arial" w:cs="Arial"/>
                <w:szCs w:val="20"/>
                <w:lang w:eastAsia="fi-FI"/>
              </w:rPr>
              <w:t>  Toivonen Ritva</w:t>
            </w:r>
          </w:p>
        </w:tc>
        <w:tc>
          <w:tcPr>
            <w:tcW w:w="1282" w:type="dxa"/>
            <w:tcBorders>
              <w:top w:val="outset" w:sz="6" w:space="0" w:color="auto"/>
              <w:left w:val="outset" w:sz="6" w:space="0" w:color="auto"/>
              <w:bottom w:val="outset" w:sz="6" w:space="0" w:color="auto"/>
              <w:right w:val="outset" w:sz="6" w:space="0" w:color="auto"/>
            </w:tcBorders>
            <w:tcMar>
              <w:top w:w="0" w:type="dxa"/>
              <w:left w:w="96" w:type="dxa"/>
              <w:bottom w:w="0" w:type="dxa"/>
              <w:right w:w="96" w:type="dxa"/>
            </w:tcMar>
            <w:vAlign w:val="bottom"/>
            <w:hideMark/>
          </w:tcPr>
          <w:p w14:paraId="7772DF7A" w14:textId="368DB042" w:rsidR="00B30805" w:rsidRPr="0087086C" w:rsidRDefault="00B30805" w:rsidP="00B30805">
            <w:pPr>
              <w:spacing w:before="100" w:beforeAutospacing="1" w:after="100" w:afterAutospacing="1"/>
              <w:jc w:val="right"/>
              <w:rPr>
                <w:rFonts w:ascii="Arial" w:eastAsia="Times New Roman" w:hAnsi="Arial" w:cs="Arial"/>
                <w:szCs w:val="20"/>
                <w:lang w:eastAsia="fi-FI"/>
              </w:rPr>
            </w:pPr>
            <w:r w:rsidRPr="0087086C">
              <w:rPr>
                <w:rFonts w:ascii="Arial" w:eastAsia="Times New Roman" w:hAnsi="Arial" w:cs="Arial"/>
                <w:szCs w:val="20"/>
                <w:lang w:eastAsia="fi-FI"/>
              </w:rPr>
              <w:t>17,9</w:t>
            </w:r>
          </w:p>
        </w:tc>
        <w:tc>
          <w:tcPr>
            <w:tcW w:w="1212" w:type="dxa"/>
            <w:tcBorders>
              <w:top w:val="outset" w:sz="6" w:space="0" w:color="auto"/>
              <w:left w:val="outset" w:sz="6" w:space="0" w:color="auto"/>
              <w:bottom w:val="outset" w:sz="6" w:space="0" w:color="auto"/>
              <w:right w:val="outset" w:sz="6" w:space="0" w:color="auto"/>
            </w:tcBorders>
          </w:tcPr>
          <w:p w14:paraId="0CF44E86" w14:textId="77777777" w:rsidR="00B30805" w:rsidRPr="0087086C" w:rsidRDefault="00B30805" w:rsidP="00BF6A42">
            <w:pPr>
              <w:spacing w:before="100" w:beforeAutospacing="1" w:after="100" w:afterAutospacing="1"/>
              <w:jc w:val="center"/>
              <w:rPr>
                <w:rFonts w:ascii="Arial" w:eastAsia="Times New Roman" w:hAnsi="Arial" w:cs="Arial"/>
                <w:szCs w:val="20"/>
                <w:lang w:eastAsia="fi-FI"/>
              </w:rPr>
            </w:pPr>
            <w:r w:rsidRPr="0087086C">
              <w:rPr>
                <w:rFonts w:ascii="Arial" w:eastAsia="Times New Roman" w:hAnsi="Arial" w:cs="Arial"/>
                <w:szCs w:val="20"/>
                <w:lang w:eastAsia="fi-FI"/>
              </w:rPr>
              <w:t>rahana</w:t>
            </w:r>
          </w:p>
        </w:tc>
      </w:tr>
      <w:tr w:rsidR="00B30805" w:rsidRPr="001C2EBE" w14:paraId="56C55192" w14:textId="77777777" w:rsidTr="00B30805">
        <w:tc>
          <w:tcPr>
            <w:tcW w:w="3940" w:type="dxa"/>
            <w:tcBorders>
              <w:top w:val="outset" w:sz="6" w:space="0" w:color="auto"/>
              <w:left w:val="outset" w:sz="6" w:space="0" w:color="auto"/>
              <w:bottom w:val="outset" w:sz="6" w:space="0" w:color="auto"/>
              <w:right w:val="outset" w:sz="6" w:space="0" w:color="auto"/>
            </w:tcBorders>
            <w:tcMar>
              <w:top w:w="0" w:type="dxa"/>
              <w:left w:w="96" w:type="dxa"/>
              <w:bottom w:w="0" w:type="dxa"/>
              <w:right w:w="96" w:type="dxa"/>
            </w:tcMar>
            <w:vAlign w:val="bottom"/>
          </w:tcPr>
          <w:p w14:paraId="754D916A" w14:textId="6CBBD97B" w:rsidR="00B30805" w:rsidRPr="0087086C" w:rsidRDefault="00B30805" w:rsidP="00B30805">
            <w:pPr>
              <w:spacing w:before="100" w:beforeAutospacing="1" w:after="100" w:afterAutospacing="1"/>
              <w:rPr>
                <w:rFonts w:ascii="Arial" w:eastAsia="Times New Roman" w:hAnsi="Arial" w:cs="Arial"/>
                <w:szCs w:val="20"/>
                <w:lang w:eastAsia="fi-FI"/>
              </w:rPr>
            </w:pPr>
            <w:r w:rsidRPr="0087086C">
              <w:rPr>
                <w:rFonts w:ascii="Arial" w:eastAsia="Times New Roman" w:hAnsi="Arial" w:cs="Arial"/>
                <w:szCs w:val="20"/>
                <w:lang w:eastAsia="fi-FI"/>
              </w:rPr>
              <w:t>  Virtanen Ari</w:t>
            </w:r>
          </w:p>
        </w:tc>
        <w:tc>
          <w:tcPr>
            <w:tcW w:w="1282" w:type="dxa"/>
            <w:tcBorders>
              <w:top w:val="outset" w:sz="6" w:space="0" w:color="auto"/>
              <w:left w:val="outset" w:sz="6" w:space="0" w:color="auto"/>
              <w:bottom w:val="outset" w:sz="6" w:space="0" w:color="auto"/>
              <w:right w:val="outset" w:sz="6" w:space="0" w:color="auto"/>
            </w:tcBorders>
            <w:tcMar>
              <w:top w:w="0" w:type="dxa"/>
              <w:left w:w="96" w:type="dxa"/>
              <w:bottom w:w="0" w:type="dxa"/>
              <w:right w:w="96" w:type="dxa"/>
            </w:tcMar>
            <w:vAlign w:val="bottom"/>
          </w:tcPr>
          <w:p w14:paraId="3BD07EA1" w14:textId="7F5E92BE" w:rsidR="00B30805" w:rsidRPr="0087086C" w:rsidRDefault="00B30805" w:rsidP="00B30805">
            <w:pPr>
              <w:spacing w:before="100" w:beforeAutospacing="1" w:after="100" w:afterAutospacing="1"/>
              <w:jc w:val="right"/>
              <w:rPr>
                <w:rFonts w:ascii="Arial" w:eastAsia="Times New Roman" w:hAnsi="Arial" w:cs="Arial"/>
                <w:szCs w:val="20"/>
                <w:lang w:eastAsia="fi-FI"/>
              </w:rPr>
            </w:pPr>
            <w:r w:rsidRPr="0087086C">
              <w:rPr>
                <w:rFonts w:ascii="Arial" w:eastAsia="Times New Roman" w:hAnsi="Arial" w:cs="Arial"/>
                <w:szCs w:val="20"/>
                <w:lang w:eastAsia="fi-FI"/>
              </w:rPr>
              <w:t>17,9</w:t>
            </w:r>
          </w:p>
        </w:tc>
        <w:tc>
          <w:tcPr>
            <w:tcW w:w="1212" w:type="dxa"/>
            <w:tcBorders>
              <w:top w:val="outset" w:sz="6" w:space="0" w:color="auto"/>
              <w:left w:val="outset" w:sz="6" w:space="0" w:color="auto"/>
              <w:bottom w:val="outset" w:sz="6" w:space="0" w:color="auto"/>
              <w:right w:val="outset" w:sz="6" w:space="0" w:color="auto"/>
            </w:tcBorders>
          </w:tcPr>
          <w:p w14:paraId="4896A85A" w14:textId="13BA6325" w:rsidR="00B30805" w:rsidRPr="0087086C" w:rsidRDefault="00B30805" w:rsidP="00BF6A42">
            <w:pPr>
              <w:spacing w:before="100" w:beforeAutospacing="1" w:after="100" w:afterAutospacing="1"/>
              <w:jc w:val="center"/>
              <w:rPr>
                <w:rFonts w:ascii="Arial" w:eastAsia="Times New Roman" w:hAnsi="Arial" w:cs="Arial"/>
                <w:szCs w:val="20"/>
                <w:lang w:eastAsia="fi-FI"/>
              </w:rPr>
            </w:pPr>
            <w:r w:rsidRPr="0087086C">
              <w:rPr>
                <w:rFonts w:ascii="Arial" w:eastAsia="Times New Roman" w:hAnsi="Arial" w:cs="Arial"/>
                <w:szCs w:val="20"/>
                <w:lang w:eastAsia="fi-FI"/>
              </w:rPr>
              <w:t>rahana</w:t>
            </w:r>
          </w:p>
        </w:tc>
      </w:tr>
      <w:tr w:rsidR="00B30805" w:rsidRPr="001C2EBE" w14:paraId="536E10B5" w14:textId="77777777" w:rsidTr="00B30805">
        <w:tc>
          <w:tcPr>
            <w:tcW w:w="3940" w:type="dxa"/>
            <w:tcBorders>
              <w:top w:val="outset" w:sz="6" w:space="0" w:color="auto"/>
              <w:left w:val="outset" w:sz="6" w:space="0" w:color="auto"/>
              <w:bottom w:val="outset" w:sz="6" w:space="0" w:color="auto"/>
              <w:right w:val="outset" w:sz="6" w:space="0" w:color="auto"/>
            </w:tcBorders>
            <w:tcMar>
              <w:top w:w="0" w:type="dxa"/>
              <w:left w:w="96" w:type="dxa"/>
              <w:bottom w:w="0" w:type="dxa"/>
              <w:right w:w="96" w:type="dxa"/>
            </w:tcMar>
            <w:vAlign w:val="bottom"/>
            <w:hideMark/>
          </w:tcPr>
          <w:p w14:paraId="6AD735D0" w14:textId="77777777" w:rsidR="00B30805" w:rsidRPr="0029424F" w:rsidRDefault="00B30805" w:rsidP="00B30805">
            <w:pPr>
              <w:spacing w:before="100" w:beforeAutospacing="1" w:after="100" w:afterAutospacing="1"/>
              <w:rPr>
                <w:rFonts w:ascii="Arial" w:eastAsia="Times New Roman" w:hAnsi="Arial" w:cs="Arial"/>
                <w:b/>
                <w:bCs/>
                <w:szCs w:val="20"/>
                <w:lang w:eastAsia="fi-FI"/>
              </w:rPr>
            </w:pPr>
            <w:r w:rsidRPr="0029424F">
              <w:rPr>
                <w:rFonts w:ascii="Arial" w:eastAsia="Times New Roman" w:hAnsi="Arial" w:cs="Arial"/>
                <w:b/>
                <w:bCs/>
                <w:szCs w:val="20"/>
                <w:lang w:eastAsia="fi-FI"/>
              </w:rPr>
              <w:t> Hallituksen jäsenet, yhteensä</w:t>
            </w:r>
          </w:p>
        </w:tc>
        <w:tc>
          <w:tcPr>
            <w:tcW w:w="1282" w:type="dxa"/>
            <w:tcBorders>
              <w:top w:val="outset" w:sz="6" w:space="0" w:color="auto"/>
              <w:left w:val="outset" w:sz="6" w:space="0" w:color="auto"/>
              <w:bottom w:val="outset" w:sz="6" w:space="0" w:color="auto"/>
              <w:right w:val="outset" w:sz="6" w:space="0" w:color="auto"/>
            </w:tcBorders>
            <w:tcMar>
              <w:top w:w="0" w:type="dxa"/>
              <w:left w:w="96" w:type="dxa"/>
              <w:bottom w:w="0" w:type="dxa"/>
              <w:right w:w="96" w:type="dxa"/>
            </w:tcMar>
            <w:vAlign w:val="bottom"/>
            <w:hideMark/>
          </w:tcPr>
          <w:p w14:paraId="5D385C5B" w14:textId="6271D674" w:rsidR="00B30805" w:rsidRPr="0029424F" w:rsidRDefault="00B30805" w:rsidP="00B30805">
            <w:pPr>
              <w:spacing w:before="100" w:beforeAutospacing="1" w:after="100" w:afterAutospacing="1"/>
              <w:jc w:val="right"/>
              <w:rPr>
                <w:rFonts w:ascii="Arial" w:eastAsia="Times New Roman" w:hAnsi="Arial" w:cs="Arial"/>
                <w:b/>
                <w:bCs/>
                <w:szCs w:val="20"/>
                <w:lang w:eastAsia="fi-FI"/>
              </w:rPr>
            </w:pPr>
            <w:r w:rsidRPr="0029424F">
              <w:rPr>
                <w:rFonts w:ascii="Arial" w:eastAsia="Times New Roman" w:hAnsi="Arial" w:cs="Arial"/>
                <w:b/>
                <w:bCs/>
                <w:szCs w:val="20"/>
                <w:lang w:eastAsia="fi-FI"/>
              </w:rPr>
              <w:t>104,5</w:t>
            </w:r>
          </w:p>
        </w:tc>
        <w:tc>
          <w:tcPr>
            <w:tcW w:w="1212" w:type="dxa"/>
            <w:tcBorders>
              <w:top w:val="outset" w:sz="6" w:space="0" w:color="auto"/>
              <w:left w:val="outset" w:sz="6" w:space="0" w:color="auto"/>
              <w:bottom w:val="outset" w:sz="6" w:space="0" w:color="auto"/>
              <w:right w:val="outset" w:sz="6" w:space="0" w:color="auto"/>
            </w:tcBorders>
          </w:tcPr>
          <w:p w14:paraId="563BE932" w14:textId="77777777" w:rsidR="00B30805" w:rsidRPr="0087086C" w:rsidRDefault="00B30805" w:rsidP="00B30805">
            <w:pPr>
              <w:spacing w:before="100" w:beforeAutospacing="1" w:after="100" w:afterAutospacing="1"/>
              <w:jc w:val="right"/>
              <w:rPr>
                <w:rFonts w:ascii="Arial" w:eastAsia="Times New Roman" w:hAnsi="Arial" w:cs="Arial"/>
                <w:szCs w:val="20"/>
                <w:lang w:eastAsia="fi-FI"/>
              </w:rPr>
            </w:pPr>
          </w:p>
        </w:tc>
      </w:tr>
    </w:tbl>
    <w:p w14:paraId="4083DF06" w14:textId="461478D4" w:rsidR="006B47E5" w:rsidRPr="000435EE" w:rsidRDefault="0087086C" w:rsidP="0087086C">
      <w:pPr>
        <w:ind w:left="1440"/>
        <w:rPr>
          <w:i/>
          <w:iCs/>
          <w:sz w:val="16"/>
          <w:szCs w:val="16"/>
        </w:rPr>
      </w:pPr>
      <w:r w:rsidRPr="00F53B6A">
        <w:rPr>
          <w:i/>
          <w:iCs/>
          <w:sz w:val="16"/>
          <w:szCs w:val="16"/>
        </w:rPr>
        <w:t xml:space="preserve">Taulukon palkkiot ovat maksuperusteisia. Yhden kuukauden palkkioiden </w:t>
      </w:r>
      <w:r w:rsidR="002D7F8B">
        <w:rPr>
          <w:i/>
          <w:iCs/>
          <w:sz w:val="16"/>
          <w:szCs w:val="16"/>
        </w:rPr>
        <w:t xml:space="preserve">summan </w:t>
      </w:r>
      <w:r w:rsidRPr="00F53B6A">
        <w:rPr>
          <w:i/>
          <w:iCs/>
          <w:sz w:val="16"/>
          <w:szCs w:val="16"/>
        </w:rPr>
        <w:t>suuruinen</w:t>
      </w:r>
      <w:r w:rsidR="00F53B6A" w:rsidRPr="00F53B6A">
        <w:rPr>
          <w:i/>
          <w:iCs/>
          <w:sz w:val="16"/>
          <w:szCs w:val="16"/>
        </w:rPr>
        <w:t xml:space="preserve"> ero</w:t>
      </w:r>
      <w:r w:rsidR="004A2F92">
        <w:rPr>
          <w:i/>
          <w:iCs/>
          <w:sz w:val="16"/>
          <w:szCs w:val="16"/>
        </w:rPr>
        <w:t xml:space="preserve"> </w:t>
      </w:r>
      <w:r w:rsidRPr="00F53B6A">
        <w:rPr>
          <w:i/>
          <w:iCs/>
          <w:sz w:val="16"/>
          <w:szCs w:val="16"/>
        </w:rPr>
        <w:t xml:space="preserve">maksuperusteisen </w:t>
      </w:r>
      <w:r w:rsidRPr="000435EE">
        <w:rPr>
          <w:i/>
          <w:iCs/>
          <w:sz w:val="16"/>
          <w:szCs w:val="16"/>
        </w:rPr>
        <w:t xml:space="preserve">ja yhtiökokouksen päättämän suoritusperusteisten palkkioiden </w:t>
      </w:r>
      <w:r w:rsidR="00F53B6A" w:rsidRPr="000435EE">
        <w:rPr>
          <w:i/>
          <w:iCs/>
          <w:sz w:val="16"/>
          <w:szCs w:val="16"/>
        </w:rPr>
        <w:t>välillä</w:t>
      </w:r>
      <w:r w:rsidRPr="000435EE">
        <w:rPr>
          <w:i/>
          <w:iCs/>
          <w:sz w:val="16"/>
          <w:szCs w:val="16"/>
        </w:rPr>
        <w:t xml:space="preserve"> johtuu</w:t>
      </w:r>
      <w:r w:rsidR="00F53B6A" w:rsidRPr="000435EE">
        <w:rPr>
          <w:i/>
          <w:iCs/>
          <w:sz w:val="16"/>
          <w:szCs w:val="16"/>
        </w:rPr>
        <w:t xml:space="preserve"> hallituspalkkioiden</w:t>
      </w:r>
      <w:r w:rsidRPr="000435EE">
        <w:rPr>
          <w:i/>
          <w:iCs/>
          <w:sz w:val="16"/>
          <w:szCs w:val="16"/>
        </w:rPr>
        <w:t xml:space="preserve"> palkanlaskentajakson muutoksesta.</w:t>
      </w:r>
    </w:p>
    <w:p w14:paraId="1F5B7B6E" w14:textId="139AF2F8" w:rsidR="000435EE" w:rsidRPr="000435EE" w:rsidRDefault="000435EE" w:rsidP="000435EE"/>
    <w:p w14:paraId="3A67DCED" w14:textId="77777777" w:rsidR="000435EE" w:rsidRPr="000435EE" w:rsidRDefault="000435EE" w:rsidP="006B47E5">
      <w:pPr>
        <w:pStyle w:val="Luettelokappale"/>
        <w:ind w:left="1440"/>
      </w:pPr>
    </w:p>
    <w:p w14:paraId="78B8A752" w14:textId="527F835E" w:rsidR="006B47E5" w:rsidRPr="000435EE" w:rsidRDefault="006B47E5" w:rsidP="00EA6702">
      <w:pPr>
        <w:pStyle w:val="Otsikko2"/>
        <w:rPr>
          <w:color w:val="auto"/>
        </w:rPr>
      </w:pPr>
      <w:r w:rsidRPr="000435EE">
        <w:rPr>
          <w:color w:val="auto"/>
        </w:rPr>
        <w:t>Toimitusjohtajan palkitseminen tilikaudella 202</w:t>
      </w:r>
      <w:r w:rsidR="00400BE3" w:rsidRPr="000435EE">
        <w:rPr>
          <w:color w:val="auto"/>
        </w:rPr>
        <w:t>1</w:t>
      </w:r>
    </w:p>
    <w:p w14:paraId="5EF7F5F7" w14:textId="77777777" w:rsidR="006B47E5" w:rsidRPr="000435EE" w:rsidRDefault="006B47E5" w:rsidP="00F10339">
      <w:pPr>
        <w:ind w:left="1440"/>
      </w:pPr>
    </w:p>
    <w:p w14:paraId="7CEC737A" w14:textId="6D060446" w:rsidR="00584440" w:rsidRDefault="00584440" w:rsidP="00584440">
      <w:pPr>
        <w:ind w:left="1440"/>
      </w:pPr>
      <w:r w:rsidRPr="00400BE3">
        <w:t>Hallitus päättää toimitusjohtajan kannustepalkkioin määräytymisestä</w:t>
      </w:r>
      <w:r w:rsidR="008B2887">
        <w:t xml:space="preserve"> vuosittain</w:t>
      </w:r>
      <w:r w:rsidRPr="00400BE3">
        <w:t>. Yhtiöllä ei ole käytössä optiojärjestelmiä. Toimitusjohtajalla ei ole erillistä eläkesopimusta yhtiön puolesta. Toimitusjohtajalla on puhelinetu, joka vastaa yhtiön ja verottajan yleistä käytäntöä.</w:t>
      </w:r>
    </w:p>
    <w:p w14:paraId="0886D937" w14:textId="77777777" w:rsidR="00A66642" w:rsidRPr="00400BE3" w:rsidRDefault="00A66642" w:rsidP="00584440">
      <w:pPr>
        <w:ind w:left="1440"/>
      </w:pPr>
    </w:p>
    <w:p w14:paraId="16171A3E" w14:textId="77777777" w:rsidR="00584440" w:rsidRPr="00400BE3" w:rsidRDefault="00584440" w:rsidP="00584440">
      <w:pPr>
        <w:pStyle w:val="Luettelokappale"/>
        <w:ind w:left="1440"/>
        <w:rPr>
          <w:rFonts w:asciiTheme="minorHAnsi" w:eastAsiaTheme="minorHAnsi" w:hAnsiTheme="minorHAnsi" w:cstheme="minorHAnsi"/>
          <w:sz w:val="20"/>
          <w:szCs w:val="22"/>
          <w:lang w:eastAsia="en-US"/>
        </w:rPr>
      </w:pPr>
      <w:r w:rsidRPr="00400BE3">
        <w:rPr>
          <w:rFonts w:asciiTheme="majorHAnsi" w:hAnsiTheme="majorHAnsi" w:cstheme="majorHAnsi"/>
          <w:sz w:val="20"/>
          <w:szCs w:val="20"/>
        </w:rPr>
        <w:t>Toimitusjohtajan irtisanoessa sopimuksen sovelletaan kolmen kuukauden irtisanomisaikaa. Yhtiön</w:t>
      </w:r>
      <w:r w:rsidRPr="00400BE3">
        <w:rPr>
          <w:sz w:val="20"/>
          <w:szCs w:val="20"/>
        </w:rPr>
        <w:t xml:space="preserve"> </w:t>
      </w:r>
      <w:r w:rsidRPr="00400BE3">
        <w:rPr>
          <w:rFonts w:asciiTheme="minorHAnsi" w:eastAsiaTheme="minorHAnsi" w:hAnsiTheme="minorHAnsi" w:cstheme="minorHAnsi"/>
          <w:sz w:val="20"/>
          <w:szCs w:val="20"/>
          <w:lang w:eastAsia="en-US"/>
        </w:rPr>
        <w:t>irtisanoessa</w:t>
      </w:r>
      <w:r w:rsidRPr="00400BE3">
        <w:rPr>
          <w:rFonts w:asciiTheme="minorHAnsi" w:eastAsiaTheme="minorHAnsi" w:hAnsiTheme="minorHAnsi" w:cstheme="minorHAnsi"/>
          <w:sz w:val="20"/>
          <w:szCs w:val="22"/>
          <w:lang w:eastAsia="en-US"/>
        </w:rPr>
        <w:t xml:space="preserve"> sopimuksen astuu irtisanominen välittömästi voimaan ilman erillistä irtisanomisaikaa. Yhtiön päättäessä sopimuksen toimitusjohtajalle maksetaan kahdentoista kuukauden rahapalkkaa vastaava rahasumma erokorvauksena. </w:t>
      </w:r>
    </w:p>
    <w:p w14:paraId="6CEDB7C7" w14:textId="77777777" w:rsidR="00D17EE6" w:rsidRDefault="00D17EE6" w:rsidP="00DD45C2">
      <w:pPr>
        <w:ind w:left="1440"/>
      </w:pPr>
    </w:p>
    <w:p w14:paraId="52001D6C" w14:textId="10BE3434" w:rsidR="00117308" w:rsidRDefault="006B47E5" w:rsidP="00DD45C2">
      <w:pPr>
        <w:ind w:left="1440"/>
      </w:pPr>
      <w:r w:rsidRPr="00400BE3">
        <w:t>Yhtiön toimitusjohtaja</w:t>
      </w:r>
      <w:r w:rsidR="00400BE3">
        <w:t>n palkka koostuu kiinteästä</w:t>
      </w:r>
      <w:r w:rsidR="0070048E">
        <w:t xml:space="preserve"> kuukausipalkasta</w:t>
      </w:r>
      <w:r w:rsidR="00400BE3">
        <w:t xml:space="preserve"> ja </w:t>
      </w:r>
      <w:r w:rsidR="0070048E">
        <w:t xml:space="preserve">sen lisäksi maksettavasta </w:t>
      </w:r>
      <w:r w:rsidR="00400BE3">
        <w:t xml:space="preserve">muuttuvasta </w:t>
      </w:r>
      <w:r w:rsidR="0070048E">
        <w:t xml:space="preserve">palkan </w:t>
      </w:r>
      <w:r w:rsidR="00400BE3">
        <w:t>osasta.</w:t>
      </w:r>
      <w:r w:rsidRPr="00400BE3">
        <w:t xml:space="preserve"> </w:t>
      </w:r>
      <w:r w:rsidR="00400BE3" w:rsidRPr="00400BE3">
        <w:t xml:space="preserve">Muuttuva palkitsemisen osa muodostuu lyhyen ja/tai pitkän aikavälin kannustinjärjestelmistä, joiden tavoitteena on kannustaa saavuttamaan </w:t>
      </w:r>
      <w:proofErr w:type="spellStart"/>
      <w:r w:rsidR="00400BE3" w:rsidRPr="00400BE3">
        <w:t>Keslan</w:t>
      </w:r>
      <w:proofErr w:type="spellEnd"/>
      <w:r w:rsidR="00400BE3" w:rsidRPr="00400BE3">
        <w:t xml:space="preserve"> vuoden 2021 tulostavoitteet ja palk</w:t>
      </w:r>
      <w:r w:rsidR="00400BE3" w:rsidRPr="00DD45C2">
        <w:t>ita</w:t>
      </w:r>
      <w:r w:rsidR="00BF6A42">
        <w:t>an</w:t>
      </w:r>
      <w:r w:rsidR="00400BE3" w:rsidRPr="00DD45C2">
        <w:t xml:space="preserve"> </w:t>
      </w:r>
      <w:r w:rsidR="00C13B12" w:rsidRPr="00DD45C2">
        <w:t>2019–2023</w:t>
      </w:r>
      <w:r w:rsidR="00400BE3" w:rsidRPr="00DD45C2">
        <w:t xml:space="preserve"> liiketoimintasuunnitelman tavoitetasojen mukaisesta etenemisestä.</w:t>
      </w:r>
    </w:p>
    <w:p w14:paraId="1577D561" w14:textId="77777777" w:rsidR="00FC011C" w:rsidRDefault="00FC011C" w:rsidP="00DD45C2">
      <w:pPr>
        <w:ind w:left="1440"/>
      </w:pPr>
    </w:p>
    <w:p w14:paraId="5461A1CB" w14:textId="4088CB80" w:rsidR="00354762" w:rsidRPr="00CE2D25" w:rsidRDefault="00354762" w:rsidP="00CE2D25"/>
    <w:p w14:paraId="5AF3D6C6" w14:textId="47AD5AE2" w:rsidR="00354762" w:rsidRPr="00EA6702" w:rsidRDefault="00354762" w:rsidP="00EA6702">
      <w:pPr>
        <w:ind w:left="1440"/>
        <w:rPr>
          <w:b/>
          <w:bCs/>
          <w:i/>
          <w:iCs/>
          <w:szCs w:val="20"/>
        </w:rPr>
      </w:pPr>
      <w:r w:rsidRPr="00EA6702">
        <w:rPr>
          <w:b/>
          <w:bCs/>
          <w:i/>
          <w:iCs/>
          <w:szCs w:val="20"/>
        </w:rPr>
        <w:t>Toimitusjohtajan maksuperusteiset palkkiot vuonna 2021:</w:t>
      </w:r>
    </w:p>
    <w:p w14:paraId="21E11B3C" w14:textId="77777777" w:rsidR="004C65E3" w:rsidRDefault="004C65E3" w:rsidP="00B0757D">
      <w:pPr>
        <w:ind w:left="1440"/>
        <w:rPr>
          <w:i/>
          <w:iCs/>
          <w:sz w:val="16"/>
          <w:szCs w:val="16"/>
        </w:rPr>
      </w:pPr>
      <w:bookmarkStart w:id="0" w:name="_Hlk92119213"/>
    </w:p>
    <w:bookmarkEnd w:id="0"/>
    <w:p w14:paraId="696928FB" w14:textId="2F5D636B" w:rsidR="00B0757D" w:rsidRPr="00FC011C" w:rsidRDefault="00B0757D" w:rsidP="00B0757D">
      <w:pPr>
        <w:ind w:left="1440"/>
      </w:pPr>
      <w:r w:rsidRPr="00FC011C">
        <w:t>Vuonna 2020 Covid-19-pandemian aiheuttaman epävarman näkymän vuoksi palkitsemispolitiikasta poikettiin väliaikaisesti</w:t>
      </w:r>
      <w:r w:rsidR="00497C89">
        <w:t xml:space="preserve"> eikä t</w:t>
      </w:r>
      <w:r w:rsidRPr="00FC011C">
        <w:t>ilikaudella</w:t>
      </w:r>
      <w:r w:rsidR="00FC011C" w:rsidRPr="00FC011C">
        <w:t xml:space="preserve"> 202</w:t>
      </w:r>
      <w:r w:rsidR="00CE2D25">
        <w:t>0</w:t>
      </w:r>
      <w:r w:rsidRPr="00FC011C">
        <w:t xml:space="preserve"> toimitusjohtajalla ollut kannustepalkkio-ohjelmaa. V</w:t>
      </w:r>
      <w:r w:rsidR="00FC011C" w:rsidRPr="00FC011C">
        <w:t>uonna 2021 v</w:t>
      </w:r>
      <w:r w:rsidRPr="00FC011C">
        <w:t xml:space="preserve">uodelta 2020 maksettu </w:t>
      </w:r>
      <w:r w:rsidR="00FC011C" w:rsidRPr="00FC011C">
        <w:t>muuttuva palkanosuus</w:t>
      </w:r>
      <w:r w:rsidRPr="00FC011C">
        <w:t xml:space="preserve"> oli erillispalkkio strategisen vuositavoitteen toteutumisesta.</w:t>
      </w:r>
    </w:p>
    <w:p w14:paraId="2A27B0FE" w14:textId="4FBDBB8B" w:rsidR="00306340" w:rsidRDefault="00306340" w:rsidP="00B0757D">
      <w:pPr>
        <w:ind w:left="1440"/>
      </w:pPr>
    </w:p>
    <w:tbl>
      <w:tblPr>
        <w:tblpPr w:leftFromText="141" w:rightFromText="141" w:vertAnchor="text" w:horzAnchor="margin" w:tblpXSpec="right" w:tblpY="235"/>
        <w:tblW w:w="825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54"/>
        <w:gridCol w:w="1063"/>
        <w:gridCol w:w="1220"/>
        <w:gridCol w:w="1017"/>
      </w:tblGrid>
      <w:tr w:rsidR="00FC011C" w:rsidRPr="001C2EBE" w14:paraId="35F6F524" w14:textId="77777777" w:rsidTr="00BF6A42">
        <w:tc>
          <w:tcPr>
            <w:tcW w:w="4954" w:type="dxa"/>
            <w:tcBorders>
              <w:top w:val="outset" w:sz="6" w:space="0" w:color="auto"/>
              <w:left w:val="outset" w:sz="6" w:space="0" w:color="auto"/>
              <w:bottom w:val="outset" w:sz="6" w:space="0" w:color="auto"/>
              <w:right w:val="outset" w:sz="6" w:space="0" w:color="auto"/>
            </w:tcBorders>
            <w:tcMar>
              <w:top w:w="0" w:type="dxa"/>
              <w:left w:w="96" w:type="dxa"/>
              <w:bottom w:w="0" w:type="dxa"/>
              <w:right w:w="96" w:type="dxa"/>
            </w:tcMar>
            <w:vAlign w:val="bottom"/>
            <w:hideMark/>
          </w:tcPr>
          <w:p w14:paraId="4B7EB423" w14:textId="77777777" w:rsidR="00FC011C" w:rsidRPr="00856270" w:rsidRDefault="00FC011C" w:rsidP="00BF6A42">
            <w:pPr>
              <w:spacing w:before="100" w:beforeAutospacing="1" w:after="100" w:afterAutospacing="1"/>
              <w:rPr>
                <w:rFonts w:ascii="Arial" w:eastAsia="Times New Roman" w:hAnsi="Arial" w:cs="Arial"/>
                <w:szCs w:val="20"/>
                <w:lang w:eastAsia="fi-FI"/>
              </w:rPr>
            </w:pPr>
            <w:r w:rsidRPr="00856270">
              <w:rPr>
                <w:rFonts w:ascii="Arial" w:eastAsia="Times New Roman" w:hAnsi="Arial" w:cs="Arial"/>
                <w:szCs w:val="20"/>
                <w:lang w:eastAsia="fi-FI"/>
              </w:rPr>
              <w:t xml:space="preserve">Toimitusjohtaja Simo Saastamoisen </w:t>
            </w:r>
            <w:r>
              <w:rPr>
                <w:rFonts w:ascii="Arial" w:eastAsia="Times New Roman" w:hAnsi="Arial" w:cs="Arial"/>
                <w:szCs w:val="20"/>
                <w:lang w:eastAsia="fi-FI"/>
              </w:rPr>
              <w:t xml:space="preserve">maksuperusteiset </w:t>
            </w:r>
            <w:r w:rsidRPr="00856270">
              <w:rPr>
                <w:rFonts w:ascii="Arial" w:eastAsia="Times New Roman" w:hAnsi="Arial" w:cs="Arial"/>
                <w:szCs w:val="20"/>
                <w:lang w:eastAsia="fi-FI"/>
              </w:rPr>
              <w:t>palkat ja luontoisedut vuonna 2021, 1</w:t>
            </w:r>
            <w:r>
              <w:rPr>
                <w:rFonts w:ascii="Arial" w:eastAsia="Times New Roman" w:hAnsi="Arial" w:cs="Arial"/>
                <w:szCs w:val="20"/>
                <w:lang w:eastAsia="fi-FI"/>
              </w:rPr>
              <w:t xml:space="preserve"> </w:t>
            </w:r>
            <w:r w:rsidRPr="00856270">
              <w:rPr>
                <w:rFonts w:ascii="Arial" w:eastAsia="Times New Roman" w:hAnsi="Arial" w:cs="Arial"/>
                <w:szCs w:val="20"/>
                <w:lang w:eastAsia="fi-FI"/>
              </w:rPr>
              <w:t>000 €</w:t>
            </w:r>
          </w:p>
        </w:tc>
        <w:tc>
          <w:tcPr>
            <w:tcW w:w="1063" w:type="dxa"/>
            <w:tcBorders>
              <w:top w:val="outset" w:sz="6" w:space="0" w:color="auto"/>
              <w:left w:val="outset" w:sz="6" w:space="0" w:color="auto"/>
              <w:bottom w:val="outset" w:sz="6" w:space="0" w:color="auto"/>
              <w:right w:val="outset" w:sz="6" w:space="0" w:color="auto"/>
            </w:tcBorders>
            <w:tcMar>
              <w:top w:w="0" w:type="dxa"/>
              <w:left w:w="96" w:type="dxa"/>
              <w:bottom w:w="0" w:type="dxa"/>
              <w:right w:w="96" w:type="dxa"/>
            </w:tcMar>
            <w:vAlign w:val="bottom"/>
            <w:hideMark/>
          </w:tcPr>
          <w:p w14:paraId="56D18671" w14:textId="2CF873E8" w:rsidR="00FC011C" w:rsidRPr="00856270" w:rsidRDefault="00FC011C" w:rsidP="00D91F63">
            <w:pPr>
              <w:spacing w:before="100" w:beforeAutospacing="1" w:after="100" w:afterAutospacing="1" w:line="360" w:lineRule="auto"/>
              <w:jc w:val="both"/>
              <w:rPr>
                <w:rFonts w:ascii="Arial" w:eastAsia="Times New Roman" w:hAnsi="Arial" w:cs="Arial"/>
                <w:szCs w:val="20"/>
                <w:lang w:eastAsia="fi-FI"/>
              </w:rPr>
            </w:pPr>
            <w:r w:rsidRPr="00856270">
              <w:rPr>
                <w:rFonts w:ascii="Arial" w:eastAsia="Times New Roman" w:hAnsi="Arial" w:cs="Arial"/>
                <w:szCs w:val="20"/>
                <w:lang w:eastAsia="fi-FI"/>
              </w:rPr>
              <w:t>Palkat ja palkkiot</w:t>
            </w:r>
          </w:p>
        </w:tc>
        <w:tc>
          <w:tcPr>
            <w:tcW w:w="1220" w:type="dxa"/>
            <w:tcBorders>
              <w:top w:val="outset" w:sz="6" w:space="0" w:color="auto"/>
              <w:left w:val="outset" w:sz="6" w:space="0" w:color="auto"/>
              <w:bottom w:val="outset" w:sz="6" w:space="0" w:color="auto"/>
              <w:right w:val="outset" w:sz="6" w:space="0" w:color="auto"/>
            </w:tcBorders>
          </w:tcPr>
          <w:p w14:paraId="3F1F9430" w14:textId="77777777" w:rsidR="00FC011C" w:rsidRPr="00856270" w:rsidRDefault="00FC011C" w:rsidP="00BF6A42">
            <w:pPr>
              <w:spacing w:before="100" w:beforeAutospacing="1" w:after="100" w:afterAutospacing="1"/>
              <w:jc w:val="center"/>
              <w:rPr>
                <w:rFonts w:ascii="Arial" w:eastAsia="Times New Roman" w:hAnsi="Arial" w:cs="Arial"/>
                <w:szCs w:val="20"/>
                <w:lang w:eastAsia="fi-FI"/>
              </w:rPr>
            </w:pPr>
            <w:r>
              <w:rPr>
                <w:rFonts w:ascii="Arial" w:eastAsia="Times New Roman" w:hAnsi="Arial" w:cs="Arial"/>
                <w:szCs w:val="20"/>
                <w:lang w:eastAsia="fi-FI"/>
              </w:rPr>
              <w:t>jakautuminen %</w:t>
            </w:r>
          </w:p>
        </w:tc>
        <w:tc>
          <w:tcPr>
            <w:tcW w:w="1017" w:type="dxa"/>
            <w:tcBorders>
              <w:top w:val="outset" w:sz="6" w:space="0" w:color="auto"/>
              <w:left w:val="outset" w:sz="6" w:space="0" w:color="auto"/>
              <w:bottom w:val="outset" w:sz="6" w:space="0" w:color="auto"/>
              <w:right w:val="outset" w:sz="6" w:space="0" w:color="auto"/>
            </w:tcBorders>
          </w:tcPr>
          <w:p w14:paraId="3984C7EF" w14:textId="77777777" w:rsidR="00FC011C" w:rsidRPr="00856270" w:rsidRDefault="00FC011C" w:rsidP="00BF6A42">
            <w:pPr>
              <w:spacing w:before="100" w:beforeAutospacing="1" w:after="100" w:afterAutospacing="1"/>
              <w:rPr>
                <w:rFonts w:ascii="Arial" w:eastAsia="Times New Roman" w:hAnsi="Arial" w:cs="Arial"/>
                <w:szCs w:val="20"/>
                <w:lang w:eastAsia="fi-FI"/>
              </w:rPr>
            </w:pPr>
            <w:r w:rsidRPr="00856270">
              <w:rPr>
                <w:rFonts w:ascii="Arial" w:eastAsia="Times New Roman" w:hAnsi="Arial" w:cs="Arial"/>
                <w:szCs w:val="20"/>
                <w:lang w:eastAsia="fi-FI"/>
              </w:rPr>
              <w:t>maksutapa</w:t>
            </w:r>
          </w:p>
        </w:tc>
      </w:tr>
      <w:tr w:rsidR="00FC011C" w:rsidRPr="001C2EBE" w14:paraId="5826670B" w14:textId="77777777" w:rsidTr="00BF6A42">
        <w:tc>
          <w:tcPr>
            <w:tcW w:w="4954" w:type="dxa"/>
            <w:tcBorders>
              <w:top w:val="outset" w:sz="6" w:space="0" w:color="auto"/>
              <w:left w:val="outset" w:sz="6" w:space="0" w:color="auto"/>
              <w:bottom w:val="outset" w:sz="6" w:space="0" w:color="auto"/>
              <w:right w:val="outset" w:sz="6" w:space="0" w:color="auto"/>
            </w:tcBorders>
            <w:tcMar>
              <w:top w:w="0" w:type="dxa"/>
              <w:left w:w="96" w:type="dxa"/>
              <w:bottom w:w="0" w:type="dxa"/>
              <w:right w:w="96" w:type="dxa"/>
            </w:tcMar>
            <w:vAlign w:val="bottom"/>
          </w:tcPr>
          <w:p w14:paraId="5E272D55" w14:textId="77777777" w:rsidR="00FC011C" w:rsidRPr="00856270" w:rsidRDefault="00FC011C" w:rsidP="00FC011C">
            <w:pPr>
              <w:spacing w:before="100" w:beforeAutospacing="1" w:after="100" w:afterAutospacing="1"/>
              <w:rPr>
                <w:rFonts w:ascii="Arial" w:eastAsia="Times New Roman" w:hAnsi="Arial" w:cs="Arial"/>
                <w:szCs w:val="20"/>
                <w:lang w:eastAsia="fi-FI"/>
              </w:rPr>
            </w:pPr>
            <w:r w:rsidRPr="00856270">
              <w:rPr>
                <w:rFonts w:ascii="Arial" w:eastAsia="Times New Roman" w:hAnsi="Arial" w:cs="Arial"/>
                <w:szCs w:val="20"/>
                <w:lang w:eastAsia="fi-FI"/>
              </w:rPr>
              <w:t>Kiinteä palkanosuus</w:t>
            </w:r>
          </w:p>
        </w:tc>
        <w:tc>
          <w:tcPr>
            <w:tcW w:w="1063" w:type="dxa"/>
            <w:tcBorders>
              <w:top w:val="outset" w:sz="6" w:space="0" w:color="auto"/>
              <w:left w:val="outset" w:sz="6" w:space="0" w:color="auto"/>
              <w:bottom w:val="outset" w:sz="6" w:space="0" w:color="auto"/>
              <w:right w:val="outset" w:sz="6" w:space="0" w:color="auto"/>
            </w:tcBorders>
            <w:tcMar>
              <w:top w:w="0" w:type="dxa"/>
              <w:left w:w="96" w:type="dxa"/>
              <w:bottom w:w="0" w:type="dxa"/>
              <w:right w:w="96" w:type="dxa"/>
            </w:tcMar>
            <w:vAlign w:val="bottom"/>
          </w:tcPr>
          <w:p w14:paraId="20030C1E" w14:textId="77777777" w:rsidR="00FC011C" w:rsidRPr="00856270" w:rsidRDefault="00FC011C" w:rsidP="00FC011C">
            <w:pPr>
              <w:spacing w:before="100" w:beforeAutospacing="1" w:after="100" w:afterAutospacing="1"/>
              <w:jc w:val="right"/>
              <w:rPr>
                <w:rFonts w:ascii="Arial" w:eastAsia="Times New Roman" w:hAnsi="Arial" w:cs="Arial"/>
                <w:szCs w:val="20"/>
                <w:lang w:eastAsia="fi-FI"/>
              </w:rPr>
            </w:pPr>
            <w:r w:rsidRPr="00856270">
              <w:rPr>
                <w:rFonts w:ascii="Arial" w:eastAsia="Times New Roman" w:hAnsi="Arial" w:cs="Arial"/>
                <w:szCs w:val="20"/>
                <w:lang w:eastAsia="fi-FI"/>
              </w:rPr>
              <w:t>223</w:t>
            </w:r>
          </w:p>
        </w:tc>
        <w:tc>
          <w:tcPr>
            <w:tcW w:w="1220" w:type="dxa"/>
            <w:tcBorders>
              <w:top w:val="outset" w:sz="6" w:space="0" w:color="auto"/>
              <w:left w:val="outset" w:sz="6" w:space="0" w:color="auto"/>
              <w:bottom w:val="outset" w:sz="6" w:space="0" w:color="auto"/>
              <w:right w:val="outset" w:sz="6" w:space="0" w:color="auto"/>
            </w:tcBorders>
          </w:tcPr>
          <w:p w14:paraId="2FF4A681" w14:textId="77777777" w:rsidR="00FC011C" w:rsidRPr="00856270" w:rsidRDefault="00FC011C" w:rsidP="00FC011C">
            <w:pPr>
              <w:spacing w:before="100" w:beforeAutospacing="1" w:after="100" w:afterAutospacing="1"/>
              <w:jc w:val="right"/>
              <w:rPr>
                <w:rFonts w:ascii="Arial" w:eastAsia="Times New Roman" w:hAnsi="Arial" w:cs="Arial"/>
                <w:szCs w:val="20"/>
                <w:lang w:eastAsia="fi-FI"/>
              </w:rPr>
            </w:pPr>
            <w:r>
              <w:rPr>
                <w:rFonts w:ascii="Arial" w:eastAsia="Times New Roman" w:hAnsi="Arial" w:cs="Arial"/>
                <w:szCs w:val="20"/>
                <w:lang w:eastAsia="fi-FI"/>
              </w:rPr>
              <w:t>96 %</w:t>
            </w:r>
          </w:p>
        </w:tc>
        <w:tc>
          <w:tcPr>
            <w:tcW w:w="1017" w:type="dxa"/>
            <w:tcBorders>
              <w:top w:val="outset" w:sz="6" w:space="0" w:color="auto"/>
              <w:left w:val="outset" w:sz="6" w:space="0" w:color="auto"/>
              <w:bottom w:val="outset" w:sz="6" w:space="0" w:color="auto"/>
              <w:right w:val="outset" w:sz="6" w:space="0" w:color="auto"/>
            </w:tcBorders>
          </w:tcPr>
          <w:p w14:paraId="57A460E7" w14:textId="77777777" w:rsidR="00FC011C" w:rsidRPr="00856270" w:rsidRDefault="00FC011C" w:rsidP="00BF6A42">
            <w:pPr>
              <w:spacing w:before="100" w:beforeAutospacing="1" w:after="100" w:afterAutospacing="1"/>
              <w:jc w:val="center"/>
              <w:rPr>
                <w:rFonts w:ascii="Arial" w:eastAsia="Times New Roman" w:hAnsi="Arial" w:cs="Arial"/>
                <w:szCs w:val="20"/>
                <w:lang w:eastAsia="fi-FI"/>
              </w:rPr>
            </w:pPr>
            <w:r w:rsidRPr="00856270">
              <w:rPr>
                <w:rFonts w:ascii="Arial" w:eastAsia="Times New Roman" w:hAnsi="Arial" w:cs="Arial"/>
                <w:szCs w:val="20"/>
                <w:lang w:eastAsia="fi-FI"/>
              </w:rPr>
              <w:t>rahana</w:t>
            </w:r>
          </w:p>
        </w:tc>
      </w:tr>
      <w:tr w:rsidR="00FC011C" w:rsidRPr="001C2EBE" w14:paraId="3AA6FC85" w14:textId="77777777" w:rsidTr="00BF6A42">
        <w:tc>
          <w:tcPr>
            <w:tcW w:w="4954" w:type="dxa"/>
            <w:tcBorders>
              <w:top w:val="outset" w:sz="6" w:space="0" w:color="auto"/>
              <w:left w:val="outset" w:sz="6" w:space="0" w:color="auto"/>
              <w:bottom w:val="outset" w:sz="6" w:space="0" w:color="auto"/>
              <w:right w:val="outset" w:sz="6" w:space="0" w:color="auto"/>
            </w:tcBorders>
            <w:tcMar>
              <w:top w:w="0" w:type="dxa"/>
              <w:left w:w="96" w:type="dxa"/>
              <w:bottom w:w="0" w:type="dxa"/>
              <w:right w:w="96" w:type="dxa"/>
            </w:tcMar>
            <w:vAlign w:val="bottom"/>
          </w:tcPr>
          <w:p w14:paraId="544BE4C4" w14:textId="77777777" w:rsidR="00FC011C" w:rsidRPr="00856270" w:rsidRDefault="00FC011C" w:rsidP="00FC011C">
            <w:pPr>
              <w:spacing w:before="100" w:beforeAutospacing="1" w:after="100" w:afterAutospacing="1"/>
              <w:rPr>
                <w:rFonts w:ascii="Arial" w:eastAsia="Times New Roman" w:hAnsi="Arial" w:cs="Arial"/>
                <w:szCs w:val="20"/>
                <w:lang w:eastAsia="fi-FI"/>
              </w:rPr>
            </w:pPr>
            <w:r w:rsidRPr="00856270">
              <w:rPr>
                <w:rFonts w:ascii="Arial" w:eastAsia="Times New Roman" w:hAnsi="Arial" w:cs="Arial"/>
                <w:szCs w:val="20"/>
                <w:lang w:eastAsia="fi-FI"/>
              </w:rPr>
              <w:t>Muuttuva palkanosuus</w:t>
            </w:r>
          </w:p>
        </w:tc>
        <w:tc>
          <w:tcPr>
            <w:tcW w:w="1063" w:type="dxa"/>
            <w:tcBorders>
              <w:top w:val="outset" w:sz="6" w:space="0" w:color="auto"/>
              <w:left w:val="outset" w:sz="6" w:space="0" w:color="auto"/>
              <w:bottom w:val="outset" w:sz="6" w:space="0" w:color="auto"/>
              <w:right w:val="outset" w:sz="6" w:space="0" w:color="auto"/>
            </w:tcBorders>
            <w:tcMar>
              <w:top w:w="0" w:type="dxa"/>
              <w:left w:w="96" w:type="dxa"/>
              <w:bottom w:w="0" w:type="dxa"/>
              <w:right w:w="96" w:type="dxa"/>
            </w:tcMar>
            <w:vAlign w:val="bottom"/>
          </w:tcPr>
          <w:p w14:paraId="7E940FE3" w14:textId="77777777" w:rsidR="00FC011C" w:rsidRPr="00856270" w:rsidRDefault="00FC011C" w:rsidP="00FC011C">
            <w:pPr>
              <w:spacing w:before="100" w:beforeAutospacing="1" w:after="100" w:afterAutospacing="1"/>
              <w:jc w:val="right"/>
              <w:rPr>
                <w:rFonts w:ascii="Arial" w:eastAsia="Times New Roman" w:hAnsi="Arial" w:cs="Arial"/>
                <w:szCs w:val="20"/>
                <w:lang w:eastAsia="fi-FI"/>
              </w:rPr>
            </w:pPr>
            <w:r w:rsidRPr="00856270">
              <w:rPr>
                <w:rFonts w:ascii="Arial" w:eastAsia="Times New Roman" w:hAnsi="Arial" w:cs="Arial"/>
                <w:szCs w:val="20"/>
                <w:lang w:eastAsia="fi-FI"/>
              </w:rPr>
              <w:t>9</w:t>
            </w:r>
          </w:p>
        </w:tc>
        <w:tc>
          <w:tcPr>
            <w:tcW w:w="1220" w:type="dxa"/>
            <w:tcBorders>
              <w:top w:val="outset" w:sz="6" w:space="0" w:color="auto"/>
              <w:left w:val="outset" w:sz="6" w:space="0" w:color="auto"/>
              <w:bottom w:val="outset" w:sz="6" w:space="0" w:color="auto"/>
              <w:right w:val="outset" w:sz="6" w:space="0" w:color="auto"/>
            </w:tcBorders>
          </w:tcPr>
          <w:p w14:paraId="11326BC2" w14:textId="77777777" w:rsidR="00FC011C" w:rsidRPr="00856270" w:rsidRDefault="00FC011C" w:rsidP="00FC011C">
            <w:pPr>
              <w:spacing w:before="100" w:beforeAutospacing="1" w:after="100" w:afterAutospacing="1"/>
              <w:jc w:val="right"/>
              <w:rPr>
                <w:rFonts w:ascii="Arial" w:eastAsia="Times New Roman" w:hAnsi="Arial" w:cs="Arial"/>
                <w:szCs w:val="20"/>
                <w:lang w:eastAsia="fi-FI"/>
              </w:rPr>
            </w:pPr>
            <w:r>
              <w:rPr>
                <w:rFonts w:ascii="Arial" w:eastAsia="Times New Roman" w:hAnsi="Arial" w:cs="Arial"/>
                <w:szCs w:val="20"/>
                <w:lang w:eastAsia="fi-FI"/>
              </w:rPr>
              <w:t>4 %</w:t>
            </w:r>
          </w:p>
        </w:tc>
        <w:tc>
          <w:tcPr>
            <w:tcW w:w="1017" w:type="dxa"/>
            <w:tcBorders>
              <w:top w:val="outset" w:sz="6" w:space="0" w:color="auto"/>
              <w:left w:val="outset" w:sz="6" w:space="0" w:color="auto"/>
              <w:bottom w:val="outset" w:sz="6" w:space="0" w:color="auto"/>
              <w:right w:val="outset" w:sz="6" w:space="0" w:color="auto"/>
            </w:tcBorders>
          </w:tcPr>
          <w:p w14:paraId="565CA15B" w14:textId="77777777" w:rsidR="00FC011C" w:rsidRPr="00856270" w:rsidRDefault="00FC011C" w:rsidP="00BF6A42">
            <w:pPr>
              <w:spacing w:before="100" w:beforeAutospacing="1" w:after="100" w:afterAutospacing="1"/>
              <w:jc w:val="center"/>
              <w:rPr>
                <w:rFonts w:ascii="Arial" w:eastAsia="Times New Roman" w:hAnsi="Arial" w:cs="Arial"/>
                <w:szCs w:val="20"/>
                <w:lang w:eastAsia="fi-FI"/>
              </w:rPr>
            </w:pPr>
            <w:r w:rsidRPr="00856270">
              <w:rPr>
                <w:rFonts w:ascii="Arial" w:eastAsia="Times New Roman" w:hAnsi="Arial" w:cs="Arial"/>
                <w:szCs w:val="20"/>
                <w:lang w:eastAsia="fi-FI"/>
              </w:rPr>
              <w:t>rahana</w:t>
            </w:r>
          </w:p>
        </w:tc>
      </w:tr>
      <w:tr w:rsidR="00FC011C" w:rsidRPr="001C2EBE" w14:paraId="6FC55CA8" w14:textId="77777777" w:rsidTr="00BF6A42">
        <w:tc>
          <w:tcPr>
            <w:tcW w:w="4954" w:type="dxa"/>
            <w:tcBorders>
              <w:top w:val="outset" w:sz="6" w:space="0" w:color="auto"/>
              <w:left w:val="outset" w:sz="6" w:space="0" w:color="auto"/>
              <w:bottom w:val="outset" w:sz="6" w:space="0" w:color="auto"/>
              <w:right w:val="outset" w:sz="6" w:space="0" w:color="auto"/>
            </w:tcBorders>
            <w:tcMar>
              <w:top w:w="0" w:type="dxa"/>
              <w:left w:w="96" w:type="dxa"/>
              <w:bottom w:w="0" w:type="dxa"/>
              <w:right w:w="96" w:type="dxa"/>
            </w:tcMar>
            <w:vAlign w:val="bottom"/>
          </w:tcPr>
          <w:p w14:paraId="333259B4" w14:textId="77777777" w:rsidR="00FC011C" w:rsidRPr="00856270" w:rsidRDefault="00FC011C" w:rsidP="00FC011C">
            <w:pPr>
              <w:spacing w:before="100" w:beforeAutospacing="1" w:after="100" w:afterAutospacing="1"/>
              <w:rPr>
                <w:rFonts w:ascii="Arial" w:eastAsia="Times New Roman" w:hAnsi="Arial" w:cs="Arial"/>
                <w:szCs w:val="20"/>
                <w:lang w:eastAsia="fi-FI"/>
              </w:rPr>
            </w:pPr>
            <w:r w:rsidRPr="00856270">
              <w:rPr>
                <w:rFonts w:ascii="Arial" w:eastAsia="Times New Roman" w:hAnsi="Arial" w:cs="Arial"/>
                <w:szCs w:val="20"/>
                <w:lang w:eastAsia="fi-FI"/>
              </w:rPr>
              <w:t>Toimitusjohtajan palkat ja luontoisedut yhteensä</w:t>
            </w:r>
          </w:p>
        </w:tc>
        <w:tc>
          <w:tcPr>
            <w:tcW w:w="1063" w:type="dxa"/>
            <w:tcBorders>
              <w:top w:val="outset" w:sz="6" w:space="0" w:color="auto"/>
              <w:left w:val="outset" w:sz="6" w:space="0" w:color="auto"/>
              <w:bottom w:val="outset" w:sz="6" w:space="0" w:color="auto"/>
              <w:right w:val="outset" w:sz="6" w:space="0" w:color="auto"/>
            </w:tcBorders>
            <w:tcMar>
              <w:top w:w="0" w:type="dxa"/>
              <w:left w:w="96" w:type="dxa"/>
              <w:bottom w:w="0" w:type="dxa"/>
              <w:right w:w="96" w:type="dxa"/>
            </w:tcMar>
            <w:vAlign w:val="bottom"/>
          </w:tcPr>
          <w:p w14:paraId="2DA80AA2" w14:textId="77777777" w:rsidR="00FC011C" w:rsidRPr="00856270" w:rsidRDefault="00FC011C" w:rsidP="00FC011C">
            <w:pPr>
              <w:spacing w:before="100" w:beforeAutospacing="1" w:after="100" w:afterAutospacing="1"/>
              <w:jc w:val="right"/>
              <w:rPr>
                <w:rFonts w:ascii="Arial" w:eastAsia="Times New Roman" w:hAnsi="Arial" w:cs="Arial"/>
                <w:szCs w:val="20"/>
                <w:lang w:eastAsia="fi-FI"/>
              </w:rPr>
            </w:pPr>
            <w:r w:rsidRPr="00856270">
              <w:rPr>
                <w:rFonts w:ascii="Arial" w:eastAsia="Times New Roman" w:hAnsi="Arial" w:cs="Arial"/>
                <w:szCs w:val="20"/>
                <w:lang w:eastAsia="fi-FI"/>
              </w:rPr>
              <w:t>232</w:t>
            </w:r>
          </w:p>
        </w:tc>
        <w:tc>
          <w:tcPr>
            <w:tcW w:w="1220" w:type="dxa"/>
            <w:tcBorders>
              <w:top w:val="outset" w:sz="6" w:space="0" w:color="auto"/>
              <w:left w:val="outset" w:sz="6" w:space="0" w:color="auto"/>
              <w:bottom w:val="outset" w:sz="6" w:space="0" w:color="auto"/>
              <w:right w:val="outset" w:sz="6" w:space="0" w:color="auto"/>
            </w:tcBorders>
          </w:tcPr>
          <w:p w14:paraId="22ACC431" w14:textId="77777777" w:rsidR="00FC011C" w:rsidRPr="00856270" w:rsidRDefault="00FC011C" w:rsidP="00FC011C">
            <w:pPr>
              <w:spacing w:before="100" w:beforeAutospacing="1" w:after="100" w:afterAutospacing="1"/>
              <w:jc w:val="right"/>
              <w:rPr>
                <w:rFonts w:ascii="Arial" w:eastAsia="Times New Roman" w:hAnsi="Arial" w:cs="Arial"/>
                <w:szCs w:val="20"/>
                <w:lang w:eastAsia="fi-FI"/>
              </w:rPr>
            </w:pPr>
            <w:r>
              <w:rPr>
                <w:rFonts w:ascii="Arial" w:eastAsia="Times New Roman" w:hAnsi="Arial" w:cs="Arial"/>
                <w:szCs w:val="20"/>
                <w:lang w:eastAsia="fi-FI"/>
              </w:rPr>
              <w:t>100 %</w:t>
            </w:r>
          </w:p>
        </w:tc>
        <w:tc>
          <w:tcPr>
            <w:tcW w:w="1017" w:type="dxa"/>
            <w:tcBorders>
              <w:top w:val="outset" w:sz="6" w:space="0" w:color="auto"/>
              <w:left w:val="outset" w:sz="6" w:space="0" w:color="auto"/>
              <w:bottom w:val="outset" w:sz="6" w:space="0" w:color="auto"/>
              <w:right w:val="outset" w:sz="6" w:space="0" w:color="auto"/>
            </w:tcBorders>
          </w:tcPr>
          <w:p w14:paraId="58EF4F63" w14:textId="77777777" w:rsidR="00FC011C" w:rsidRPr="00856270" w:rsidRDefault="00FC011C" w:rsidP="00FC011C">
            <w:pPr>
              <w:spacing w:before="100" w:beforeAutospacing="1" w:after="100" w:afterAutospacing="1"/>
              <w:rPr>
                <w:rFonts w:ascii="Arial" w:eastAsia="Times New Roman" w:hAnsi="Arial" w:cs="Arial"/>
                <w:szCs w:val="20"/>
                <w:lang w:eastAsia="fi-FI"/>
              </w:rPr>
            </w:pPr>
          </w:p>
        </w:tc>
      </w:tr>
    </w:tbl>
    <w:p w14:paraId="6F21233F" w14:textId="6E0ADC25" w:rsidR="00E41E89" w:rsidRDefault="00E41E89" w:rsidP="00C20524">
      <w:pPr>
        <w:ind w:left="1440"/>
        <w:rPr>
          <w:i/>
          <w:iCs/>
          <w:sz w:val="16"/>
          <w:szCs w:val="16"/>
        </w:rPr>
      </w:pPr>
    </w:p>
    <w:p w14:paraId="31AC74CC" w14:textId="40098B9A" w:rsidR="00355191" w:rsidRDefault="00355191" w:rsidP="00C20524">
      <w:pPr>
        <w:ind w:left="1440"/>
        <w:rPr>
          <w:i/>
          <w:iCs/>
          <w:sz w:val="16"/>
          <w:szCs w:val="16"/>
        </w:rPr>
      </w:pPr>
    </w:p>
    <w:p w14:paraId="493D7673" w14:textId="5C4EEE3D" w:rsidR="00355191" w:rsidRDefault="00355191" w:rsidP="00C20524">
      <w:pPr>
        <w:ind w:left="1440"/>
        <w:rPr>
          <w:i/>
          <w:iCs/>
          <w:sz w:val="16"/>
          <w:szCs w:val="16"/>
        </w:rPr>
      </w:pPr>
    </w:p>
    <w:p w14:paraId="5B1672E0" w14:textId="0741D79E" w:rsidR="000435EE" w:rsidRDefault="000435EE" w:rsidP="00C20524">
      <w:pPr>
        <w:ind w:left="1440"/>
        <w:rPr>
          <w:i/>
          <w:iCs/>
          <w:sz w:val="16"/>
          <w:szCs w:val="16"/>
        </w:rPr>
      </w:pPr>
    </w:p>
    <w:p w14:paraId="03F96C85" w14:textId="12C4CC90" w:rsidR="000435EE" w:rsidRDefault="000435EE" w:rsidP="00C20524">
      <w:pPr>
        <w:ind w:left="1440"/>
        <w:rPr>
          <w:i/>
          <w:iCs/>
          <w:sz w:val="16"/>
          <w:szCs w:val="16"/>
        </w:rPr>
      </w:pPr>
    </w:p>
    <w:p w14:paraId="22E8642A" w14:textId="48576D68" w:rsidR="000435EE" w:rsidRDefault="000435EE" w:rsidP="00C20524">
      <w:pPr>
        <w:ind w:left="1440"/>
        <w:rPr>
          <w:i/>
          <w:iCs/>
          <w:sz w:val="16"/>
          <w:szCs w:val="16"/>
        </w:rPr>
      </w:pPr>
    </w:p>
    <w:p w14:paraId="5D0D19ED" w14:textId="77777777" w:rsidR="000435EE" w:rsidRDefault="000435EE" w:rsidP="00C20524">
      <w:pPr>
        <w:ind w:left="1440"/>
        <w:rPr>
          <w:i/>
          <w:iCs/>
          <w:sz w:val="16"/>
          <w:szCs w:val="16"/>
        </w:rPr>
      </w:pPr>
    </w:p>
    <w:p w14:paraId="007CCDB0" w14:textId="77777777" w:rsidR="00355191" w:rsidRPr="00EA6702" w:rsidRDefault="00355191" w:rsidP="00355191">
      <w:pPr>
        <w:ind w:left="1440"/>
        <w:rPr>
          <w:b/>
          <w:bCs/>
          <w:i/>
          <w:iCs/>
          <w:szCs w:val="20"/>
        </w:rPr>
      </w:pPr>
      <w:r w:rsidRPr="00EA6702">
        <w:rPr>
          <w:b/>
          <w:bCs/>
          <w:i/>
          <w:iCs/>
          <w:szCs w:val="20"/>
        </w:rPr>
        <w:lastRenderedPageBreak/>
        <w:t>Toimitusjohtajan suoriteperusteiset kannustinohjelmat ja palkkiot vuonna 2021:</w:t>
      </w:r>
    </w:p>
    <w:p w14:paraId="4EEB8465" w14:textId="77777777" w:rsidR="00355191" w:rsidRDefault="00355191" w:rsidP="00355191">
      <w:pPr>
        <w:ind w:left="1440"/>
      </w:pPr>
    </w:p>
    <w:p w14:paraId="3C42FE05" w14:textId="77777777" w:rsidR="00355191" w:rsidRDefault="00355191" w:rsidP="00355191">
      <w:pPr>
        <w:ind w:left="1440"/>
      </w:pPr>
      <w:r>
        <w:t xml:space="preserve">Vuonna 2021 yhtiön toimitusjohtaja kuului Kesla-konsernin kannustejärjestelmän piiriin. </w:t>
      </w:r>
    </w:p>
    <w:p w14:paraId="7117D743" w14:textId="77777777" w:rsidR="00355191" w:rsidRDefault="00355191" w:rsidP="00355191">
      <w:pPr>
        <w:ind w:left="1440"/>
      </w:pPr>
    </w:p>
    <w:p w14:paraId="3AAA1030" w14:textId="77777777" w:rsidR="00355191" w:rsidRPr="00B41681" w:rsidRDefault="00355191" w:rsidP="00355191">
      <w:pPr>
        <w:ind w:left="1440"/>
      </w:pPr>
      <w:r w:rsidRPr="00DD45C2">
        <w:t>T</w:t>
      </w:r>
      <w:r>
        <w:t>oimitusjohtajan t</w:t>
      </w:r>
      <w:r w:rsidRPr="00DD45C2">
        <w:t>ilikauden tulospalkkio on kokonaisuudessaan enintään 6 kuukauden rahapalkkaa vastaava rahamäärä kaikkien vuoden 2021 tavoitteiden ylittäessä ylärajan.</w:t>
      </w:r>
      <w:r>
        <w:t xml:space="preserve"> Tulostavoitteet kattavat kasvun, kannattavuuden ja vakavaraisuuden tunnuslukuja. Tulostavoitteiden mittarit määräytyvät konsernin julkaiseman tilikauden 2021 IFRS tilinpäätöstietojen toteumien mukaan ja tavoitteet ovat ennalta määriteltyjä. </w:t>
      </w:r>
      <w:r w:rsidRPr="00B41681">
        <w:t xml:space="preserve">Maksaminen edellyttää, että henkilö on maksuhetkellä työsuhteessa </w:t>
      </w:r>
      <w:proofErr w:type="spellStart"/>
      <w:r w:rsidRPr="00B41681">
        <w:t>Keslaan</w:t>
      </w:r>
      <w:proofErr w:type="spellEnd"/>
      <w:r w:rsidRPr="00B41681">
        <w:t xml:space="preserve"> eikä ole irtisanoutunut </w:t>
      </w:r>
      <w:proofErr w:type="spellStart"/>
      <w:r w:rsidRPr="00B41681">
        <w:t>Keslan</w:t>
      </w:r>
      <w:proofErr w:type="spellEnd"/>
      <w:r w:rsidRPr="00B41681">
        <w:t xml:space="preserve"> palveluksesta ennen palkkion maksua.</w:t>
      </w:r>
    </w:p>
    <w:p w14:paraId="293BDC2D" w14:textId="77777777" w:rsidR="00355191" w:rsidRDefault="00355191" w:rsidP="00355191"/>
    <w:p w14:paraId="787A82E9" w14:textId="77777777" w:rsidR="00355191" w:rsidRDefault="00355191" w:rsidP="00355191">
      <w:pPr>
        <w:ind w:left="1440"/>
      </w:pPr>
      <w:r>
        <w:t>Toimitusjohtajan vuoden 2021 kannustimien ansaintakriteerit, edistymä ja painotus:</w:t>
      </w:r>
    </w:p>
    <w:tbl>
      <w:tblPr>
        <w:tblStyle w:val="TaulukkoRuudukko"/>
        <w:tblW w:w="7905" w:type="dxa"/>
        <w:tblInd w:w="1413" w:type="dxa"/>
        <w:tblLook w:val="04A0" w:firstRow="1" w:lastRow="0" w:firstColumn="1" w:lastColumn="0" w:noHBand="0" w:noVBand="1"/>
      </w:tblPr>
      <w:tblGrid>
        <w:gridCol w:w="3118"/>
        <w:gridCol w:w="1601"/>
        <w:gridCol w:w="1574"/>
        <w:gridCol w:w="1612"/>
      </w:tblGrid>
      <w:tr w:rsidR="00355191" w14:paraId="1CFD743D" w14:textId="77777777" w:rsidTr="00F71953">
        <w:tc>
          <w:tcPr>
            <w:tcW w:w="3118" w:type="dxa"/>
          </w:tcPr>
          <w:p w14:paraId="0EFD1950" w14:textId="77777777" w:rsidR="00355191" w:rsidRPr="00707F0F" w:rsidRDefault="00355191" w:rsidP="00F71953">
            <w:pPr>
              <w:rPr>
                <w:b/>
                <w:bCs/>
              </w:rPr>
            </w:pPr>
            <w:r w:rsidRPr="00707F0F">
              <w:rPr>
                <w:b/>
                <w:bCs/>
              </w:rPr>
              <w:t>Ansaintakriteeri</w:t>
            </w:r>
          </w:p>
        </w:tc>
        <w:tc>
          <w:tcPr>
            <w:tcW w:w="1601" w:type="dxa"/>
          </w:tcPr>
          <w:p w14:paraId="1EC0BE7F" w14:textId="77777777" w:rsidR="00355191" w:rsidRPr="00707F0F" w:rsidRDefault="00355191" w:rsidP="00F71953">
            <w:pPr>
              <w:rPr>
                <w:b/>
                <w:bCs/>
              </w:rPr>
            </w:pPr>
            <w:r>
              <w:rPr>
                <w:b/>
                <w:bCs/>
              </w:rPr>
              <w:t>P</w:t>
            </w:r>
            <w:r w:rsidRPr="00707F0F">
              <w:rPr>
                <w:b/>
                <w:bCs/>
              </w:rPr>
              <w:t>ainoarvo</w:t>
            </w:r>
          </w:p>
        </w:tc>
        <w:tc>
          <w:tcPr>
            <w:tcW w:w="1574" w:type="dxa"/>
          </w:tcPr>
          <w:p w14:paraId="6358DCF6" w14:textId="77777777" w:rsidR="00355191" w:rsidRPr="00707F0F" w:rsidRDefault="00355191" w:rsidP="00F71953">
            <w:pPr>
              <w:rPr>
                <w:b/>
                <w:bCs/>
              </w:rPr>
            </w:pPr>
            <w:r w:rsidRPr="00707F0F">
              <w:rPr>
                <w:b/>
                <w:bCs/>
              </w:rPr>
              <w:t>Edistymä</w:t>
            </w:r>
          </w:p>
        </w:tc>
        <w:tc>
          <w:tcPr>
            <w:tcW w:w="1612" w:type="dxa"/>
          </w:tcPr>
          <w:p w14:paraId="6321A680" w14:textId="77777777" w:rsidR="00355191" w:rsidRPr="00707F0F" w:rsidRDefault="00355191" w:rsidP="00F71953">
            <w:pPr>
              <w:rPr>
                <w:b/>
                <w:bCs/>
              </w:rPr>
            </w:pPr>
            <w:r w:rsidRPr="00707F0F">
              <w:rPr>
                <w:b/>
                <w:bCs/>
              </w:rPr>
              <w:t>Painotettu toteuma</w:t>
            </w:r>
          </w:p>
        </w:tc>
      </w:tr>
      <w:tr w:rsidR="00355191" w14:paraId="5CD10F37" w14:textId="77777777" w:rsidTr="00F71953">
        <w:tc>
          <w:tcPr>
            <w:tcW w:w="3118" w:type="dxa"/>
          </w:tcPr>
          <w:p w14:paraId="426105AD" w14:textId="77777777" w:rsidR="00355191" w:rsidRDefault="00355191" w:rsidP="00F71953">
            <w:r>
              <w:t>Liikevaihto</w:t>
            </w:r>
          </w:p>
        </w:tc>
        <w:tc>
          <w:tcPr>
            <w:tcW w:w="1601" w:type="dxa"/>
          </w:tcPr>
          <w:p w14:paraId="1F239C8F" w14:textId="77777777" w:rsidR="00355191" w:rsidRDefault="00355191" w:rsidP="00F71953">
            <w:pPr>
              <w:jc w:val="center"/>
            </w:pPr>
            <w:r>
              <w:t>20 %</w:t>
            </w:r>
          </w:p>
        </w:tc>
        <w:tc>
          <w:tcPr>
            <w:tcW w:w="1574" w:type="dxa"/>
          </w:tcPr>
          <w:p w14:paraId="3439E434" w14:textId="77777777" w:rsidR="00355191" w:rsidRDefault="00355191" w:rsidP="00F71953">
            <w:pPr>
              <w:jc w:val="center"/>
            </w:pPr>
            <w:r>
              <w:t>9 %</w:t>
            </w:r>
          </w:p>
        </w:tc>
        <w:tc>
          <w:tcPr>
            <w:tcW w:w="1612" w:type="dxa"/>
          </w:tcPr>
          <w:p w14:paraId="2BF478F5" w14:textId="77777777" w:rsidR="00355191" w:rsidRDefault="00355191" w:rsidP="00F71953">
            <w:pPr>
              <w:jc w:val="center"/>
            </w:pPr>
            <w:r>
              <w:t>2 %</w:t>
            </w:r>
          </w:p>
        </w:tc>
      </w:tr>
      <w:tr w:rsidR="00355191" w14:paraId="4730116F" w14:textId="77777777" w:rsidTr="00F71953">
        <w:tc>
          <w:tcPr>
            <w:tcW w:w="3118" w:type="dxa"/>
          </w:tcPr>
          <w:p w14:paraId="5B41A45E" w14:textId="77777777" w:rsidR="00355191" w:rsidRDefault="00355191" w:rsidP="00F71953">
            <w:r>
              <w:t>Liikevoitto</w:t>
            </w:r>
          </w:p>
        </w:tc>
        <w:tc>
          <w:tcPr>
            <w:tcW w:w="1601" w:type="dxa"/>
          </w:tcPr>
          <w:p w14:paraId="004B9FDD" w14:textId="77777777" w:rsidR="00355191" w:rsidRDefault="00355191" w:rsidP="00F71953">
            <w:pPr>
              <w:jc w:val="center"/>
            </w:pPr>
            <w:r>
              <w:t>25 %</w:t>
            </w:r>
          </w:p>
        </w:tc>
        <w:tc>
          <w:tcPr>
            <w:tcW w:w="1574" w:type="dxa"/>
          </w:tcPr>
          <w:p w14:paraId="7040A278" w14:textId="77777777" w:rsidR="00355191" w:rsidRDefault="00355191" w:rsidP="00F71953">
            <w:pPr>
              <w:jc w:val="center"/>
            </w:pPr>
            <w:r>
              <w:t>68 %</w:t>
            </w:r>
          </w:p>
        </w:tc>
        <w:tc>
          <w:tcPr>
            <w:tcW w:w="1612" w:type="dxa"/>
          </w:tcPr>
          <w:p w14:paraId="7AA5D6D8" w14:textId="77777777" w:rsidR="00355191" w:rsidRDefault="00355191" w:rsidP="00F71953">
            <w:pPr>
              <w:jc w:val="center"/>
            </w:pPr>
            <w:r>
              <w:t>17 %</w:t>
            </w:r>
          </w:p>
        </w:tc>
      </w:tr>
      <w:tr w:rsidR="00355191" w14:paraId="5D9273A5" w14:textId="77777777" w:rsidTr="00F71953">
        <w:tc>
          <w:tcPr>
            <w:tcW w:w="3118" w:type="dxa"/>
          </w:tcPr>
          <w:p w14:paraId="1A1997A2" w14:textId="77777777" w:rsidR="00355191" w:rsidRDefault="00355191" w:rsidP="00F71953">
            <w:r>
              <w:t>ROI %</w:t>
            </w:r>
          </w:p>
        </w:tc>
        <w:tc>
          <w:tcPr>
            <w:tcW w:w="1601" w:type="dxa"/>
          </w:tcPr>
          <w:p w14:paraId="62DAE031" w14:textId="77777777" w:rsidR="00355191" w:rsidRDefault="00355191" w:rsidP="00F71953">
            <w:pPr>
              <w:jc w:val="center"/>
            </w:pPr>
            <w:r>
              <w:t>15 %</w:t>
            </w:r>
          </w:p>
        </w:tc>
        <w:tc>
          <w:tcPr>
            <w:tcW w:w="1574" w:type="dxa"/>
          </w:tcPr>
          <w:p w14:paraId="01D79670" w14:textId="77777777" w:rsidR="00355191" w:rsidRDefault="00355191" w:rsidP="00F71953">
            <w:pPr>
              <w:jc w:val="center"/>
            </w:pPr>
            <w:r>
              <w:t>13 %</w:t>
            </w:r>
          </w:p>
        </w:tc>
        <w:tc>
          <w:tcPr>
            <w:tcW w:w="1612" w:type="dxa"/>
          </w:tcPr>
          <w:p w14:paraId="46B309F9" w14:textId="77777777" w:rsidR="00355191" w:rsidRDefault="00355191" w:rsidP="00F71953">
            <w:pPr>
              <w:jc w:val="center"/>
            </w:pPr>
            <w:r>
              <w:t>2 %</w:t>
            </w:r>
          </w:p>
        </w:tc>
      </w:tr>
      <w:tr w:rsidR="00355191" w14:paraId="53611D17" w14:textId="77777777" w:rsidTr="00F71953">
        <w:tc>
          <w:tcPr>
            <w:tcW w:w="3118" w:type="dxa"/>
          </w:tcPr>
          <w:p w14:paraId="566B57C8" w14:textId="77777777" w:rsidR="00355191" w:rsidRDefault="00355191" w:rsidP="00F71953">
            <w:r>
              <w:t>Nettovelkaantumisaste %</w:t>
            </w:r>
          </w:p>
        </w:tc>
        <w:tc>
          <w:tcPr>
            <w:tcW w:w="1601" w:type="dxa"/>
          </w:tcPr>
          <w:p w14:paraId="6F138180" w14:textId="77777777" w:rsidR="00355191" w:rsidRDefault="00355191" w:rsidP="00F71953">
            <w:pPr>
              <w:jc w:val="center"/>
            </w:pPr>
            <w:r>
              <w:t>10 %</w:t>
            </w:r>
          </w:p>
        </w:tc>
        <w:tc>
          <w:tcPr>
            <w:tcW w:w="1574" w:type="dxa"/>
          </w:tcPr>
          <w:p w14:paraId="5A5BF047" w14:textId="77777777" w:rsidR="00355191" w:rsidRDefault="00355191" w:rsidP="00F71953">
            <w:pPr>
              <w:jc w:val="center"/>
            </w:pPr>
            <w:r>
              <w:t>100 %</w:t>
            </w:r>
          </w:p>
        </w:tc>
        <w:tc>
          <w:tcPr>
            <w:tcW w:w="1612" w:type="dxa"/>
          </w:tcPr>
          <w:p w14:paraId="141DB979" w14:textId="77777777" w:rsidR="00355191" w:rsidRDefault="00355191" w:rsidP="00F71953">
            <w:pPr>
              <w:jc w:val="center"/>
            </w:pPr>
            <w:r>
              <w:t>10 %</w:t>
            </w:r>
          </w:p>
        </w:tc>
      </w:tr>
      <w:tr w:rsidR="00355191" w14:paraId="03C53579" w14:textId="77777777" w:rsidTr="00F71953">
        <w:tc>
          <w:tcPr>
            <w:tcW w:w="3118" w:type="dxa"/>
          </w:tcPr>
          <w:p w14:paraId="4FA5D5CB" w14:textId="77777777" w:rsidR="00355191" w:rsidRDefault="00355191" w:rsidP="00F71953">
            <w:r>
              <w:t>Omavaraisuusaste %</w:t>
            </w:r>
          </w:p>
        </w:tc>
        <w:tc>
          <w:tcPr>
            <w:tcW w:w="1601" w:type="dxa"/>
          </w:tcPr>
          <w:p w14:paraId="2807AFCE" w14:textId="77777777" w:rsidR="00355191" w:rsidRDefault="00355191" w:rsidP="00F71953">
            <w:pPr>
              <w:jc w:val="center"/>
            </w:pPr>
            <w:r>
              <w:t>15 %</w:t>
            </w:r>
          </w:p>
        </w:tc>
        <w:tc>
          <w:tcPr>
            <w:tcW w:w="1574" w:type="dxa"/>
          </w:tcPr>
          <w:p w14:paraId="49F02A42" w14:textId="77777777" w:rsidR="00355191" w:rsidRDefault="00355191" w:rsidP="00F71953">
            <w:pPr>
              <w:jc w:val="center"/>
            </w:pPr>
            <w:r>
              <w:t>22 %</w:t>
            </w:r>
          </w:p>
        </w:tc>
        <w:tc>
          <w:tcPr>
            <w:tcW w:w="1612" w:type="dxa"/>
          </w:tcPr>
          <w:p w14:paraId="1D91F734" w14:textId="77777777" w:rsidR="00355191" w:rsidRDefault="00355191" w:rsidP="00F71953">
            <w:pPr>
              <w:jc w:val="center"/>
            </w:pPr>
            <w:r>
              <w:t>3 %</w:t>
            </w:r>
          </w:p>
        </w:tc>
      </w:tr>
      <w:tr w:rsidR="00355191" w14:paraId="583181E5" w14:textId="77777777" w:rsidTr="00F71953">
        <w:tc>
          <w:tcPr>
            <w:tcW w:w="3118" w:type="dxa"/>
          </w:tcPr>
          <w:p w14:paraId="3FA1238C" w14:textId="77777777" w:rsidR="00355191" w:rsidRDefault="00355191" w:rsidP="00F71953">
            <w:r>
              <w:t>Tilinpäätöspäivän osakekurssi</w:t>
            </w:r>
          </w:p>
        </w:tc>
        <w:tc>
          <w:tcPr>
            <w:tcW w:w="1601" w:type="dxa"/>
          </w:tcPr>
          <w:p w14:paraId="23DD7B5E" w14:textId="77777777" w:rsidR="00355191" w:rsidRDefault="00355191" w:rsidP="00F71953">
            <w:pPr>
              <w:jc w:val="center"/>
            </w:pPr>
            <w:r>
              <w:t>15 %</w:t>
            </w:r>
          </w:p>
        </w:tc>
        <w:tc>
          <w:tcPr>
            <w:tcW w:w="1574" w:type="dxa"/>
          </w:tcPr>
          <w:p w14:paraId="02D27FE5" w14:textId="77777777" w:rsidR="00355191" w:rsidRDefault="00355191" w:rsidP="00F71953">
            <w:pPr>
              <w:jc w:val="center"/>
            </w:pPr>
            <w:r>
              <w:t>19 %</w:t>
            </w:r>
          </w:p>
        </w:tc>
        <w:tc>
          <w:tcPr>
            <w:tcW w:w="1612" w:type="dxa"/>
          </w:tcPr>
          <w:p w14:paraId="60813740" w14:textId="77777777" w:rsidR="00355191" w:rsidRDefault="00355191" w:rsidP="00F71953">
            <w:pPr>
              <w:jc w:val="center"/>
            </w:pPr>
            <w:r>
              <w:t>3 %</w:t>
            </w:r>
          </w:p>
        </w:tc>
      </w:tr>
      <w:tr w:rsidR="00355191" w14:paraId="4A86A83E" w14:textId="77777777" w:rsidTr="00F71953">
        <w:tc>
          <w:tcPr>
            <w:tcW w:w="3118" w:type="dxa"/>
          </w:tcPr>
          <w:p w14:paraId="7E511165" w14:textId="77777777" w:rsidR="00355191" w:rsidRPr="00584440" w:rsidRDefault="00355191" w:rsidP="00F71953">
            <w:pPr>
              <w:rPr>
                <w:b/>
                <w:bCs/>
              </w:rPr>
            </w:pPr>
            <w:r w:rsidRPr="00584440">
              <w:rPr>
                <w:b/>
                <w:bCs/>
              </w:rPr>
              <w:t>Yhteensä</w:t>
            </w:r>
          </w:p>
        </w:tc>
        <w:tc>
          <w:tcPr>
            <w:tcW w:w="1601" w:type="dxa"/>
          </w:tcPr>
          <w:p w14:paraId="07153C6B" w14:textId="77777777" w:rsidR="00355191" w:rsidRDefault="00355191" w:rsidP="00F71953">
            <w:pPr>
              <w:jc w:val="center"/>
            </w:pPr>
          </w:p>
        </w:tc>
        <w:tc>
          <w:tcPr>
            <w:tcW w:w="1574" w:type="dxa"/>
          </w:tcPr>
          <w:p w14:paraId="54BB7790" w14:textId="77777777" w:rsidR="00355191" w:rsidRDefault="00355191" w:rsidP="00F71953">
            <w:pPr>
              <w:jc w:val="center"/>
            </w:pPr>
          </w:p>
        </w:tc>
        <w:tc>
          <w:tcPr>
            <w:tcW w:w="1612" w:type="dxa"/>
          </w:tcPr>
          <w:p w14:paraId="36E6ACF9" w14:textId="77777777" w:rsidR="00355191" w:rsidRPr="00707F0F" w:rsidRDefault="00355191" w:rsidP="00F71953">
            <w:pPr>
              <w:jc w:val="center"/>
              <w:rPr>
                <w:b/>
                <w:bCs/>
              </w:rPr>
            </w:pPr>
            <w:r w:rsidRPr="00707F0F">
              <w:rPr>
                <w:b/>
                <w:bCs/>
              </w:rPr>
              <w:t>37 %</w:t>
            </w:r>
          </w:p>
        </w:tc>
      </w:tr>
    </w:tbl>
    <w:p w14:paraId="2AF13FEC" w14:textId="77777777" w:rsidR="00355191" w:rsidRPr="00B0757D" w:rsidRDefault="00355191" w:rsidP="00355191">
      <w:pPr>
        <w:ind w:left="1440"/>
      </w:pPr>
    </w:p>
    <w:p w14:paraId="042DFBB5" w14:textId="77777777" w:rsidR="00355191" w:rsidRDefault="00355191" w:rsidP="00355191">
      <w:pPr>
        <w:pStyle w:val="Luettelokappale"/>
        <w:ind w:left="1440"/>
        <w:rPr>
          <w:rFonts w:asciiTheme="minorHAnsi" w:eastAsiaTheme="minorHAnsi" w:hAnsiTheme="minorHAnsi" w:cstheme="minorHAnsi"/>
          <w:sz w:val="20"/>
          <w:szCs w:val="22"/>
          <w:lang w:eastAsia="en-US"/>
        </w:rPr>
      </w:pPr>
      <w:r w:rsidRPr="007C6244">
        <w:rPr>
          <w:rFonts w:asciiTheme="minorHAnsi" w:eastAsiaTheme="minorHAnsi" w:hAnsiTheme="minorHAnsi" w:cstheme="minorHAnsi"/>
          <w:sz w:val="20"/>
          <w:szCs w:val="22"/>
          <w:lang w:eastAsia="en-US"/>
        </w:rPr>
        <w:t xml:space="preserve">Vuoden 2021 kannustimien painotettuun toteumaan perustuen toimitusjohtajalle maksetaan </w:t>
      </w:r>
      <w:r>
        <w:rPr>
          <w:rFonts w:asciiTheme="minorHAnsi" w:eastAsiaTheme="minorHAnsi" w:hAnsiTheme="minorHAnsi" w:cstheme="minorHAnsi"/>
          <w:sz w:val="20"/>
          <w:szCs w:val="22"/>
          <w:lang w:eastAsia="en-US"/>
        </w:rPr>
        <w:t xml:space="preserve">muuttuvaa palkanosuutta </w:t>
      </w:r>
      <w:r w:rsidRPr="007C6244">
        <w:rPr>
          <w:rFonts w:asciiTheme="minorHAnsi" w:eastAsiaTheme="minorHAnsi" w:hAnsiTheme="minorHAnsi" w:cstheme="minorHAnsi"/>
          <w:sz w:val="20"/>
          <w:szCs w:val="22"/>
          <w:lang w:eastAsia="en-US"/>
        </w:rPr>
        <w:t>39 tuhatta euroa vuonna 2022</w:t>
      </w:r>
      <w:r>
        <w:rPr>
          <w:rFonts w:asciiTheme="minorHAnsi" w:eastAsiaTheme="minorHAnsi" w:hAnsiTheme="minorHAnsi" w:cstheme="minorHAnsi"/>
          <w:sz w:val="20"/>
          <w:szCs w:val="22"/>
          <w:lang w:eastAsia="en-US"/>
        </w:rPr>
        <w:t>.</w:t>
      </w:r>
    </w:p>
    <w:p w14:paraId="731E005B" w14:textId="77777777" w:rsidR="00355191" w:rsidRDefault="00355191" w:rsidP="00355191">
      <w:pPr>
        <w:pStyle w:val="Luettelokappale"/>
        <w:ind w:left="1440"/>
        <w:rPr>
          <w:rFonts w:asciiTheme="minorHAnsi" w:eastAsiaTheme="minorHAnsi" w:hAnsiTheme="minorHAnsi" w:cstheme="minorHAnsi"/>
          <w:sz w:val="20"/>
          <w:szCs w:val="22"/>
          <w:lang w:eastAsia="en-US"/>
        </w:rPr>
      </w:pPr>
    </w:p>
    <w:p w14:paraId="58D1B796" w14:textId="77777777" w:rsidR="00355191" w:rsidRPr="00C20524" w:rsidRDefault="00355191" w:rsidP="00C20524">
      <w:pPr>
        <w:ind w:left="1440"/>
        <w:rPr>
          <w:i/>
          <w:iCs/>
          <w:sz w:val="16"/>
          <w:szCs w:val="16"/>
        </w:rPr>
      </w:pPr>
    </w:p>
    <w:sectPr w:rsidR="00355191" w:rsidRPr="00C20524" w:rsidSect="00AA4E54">
      <w:headerReference w:type="default" r:id="rId8"/>
      <w:footerReference w:type="default" r:id="rId9"/>
      <w:pgSz w:w="11906" w:h="16838"/>
      <w:pgMar w:top="218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559E8" w14:textId="77777777" w:rsidR="00133A29" w:rsidRDefault="00133A29" w:rsidP="0084217C">
      <w:r>
        <w:separator/>
      </w:r>
    </w:p>
  </w:endnote>
  <w:endnote w:type="continuationSeparator" w:id="0">
    <w:p w14:paraId="125A6BFA" w14:textId="77777777" w:rsidR="00133A29" w:rsidRDefault="00133A29" w:rsidP="00842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Borders>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1985"/>
      <w:gridCol w:w="1984"/>
      <w:gridCol w:w="2127"/>
      <w:gridCol w:w="2131"/>
      <w:gridCol w:w="1411"/>
    </w:tblGrid>
    <w:tr w:rsidR="00F66E8C" w:rsidRPr="00E375FD" w14:paraId="68782DF7" w14:textId="77777777" w:rsidTr="004A2F4C">
      <w:tc>
        <w:tcPr>
          <w:tcW w:w="1985" w:type="dxa"/>
        </w:tcPr>
        <w:p w14:paraId="7E5FDEF9" w14:textId="77777777" w:rsidR="00F66E8C" w:rsidRPr="00F66E8C" w:rsidRDefault="00F66E8C" w:rsidP="00E375FD">
          <w:pPr>
            <w:jc w:val="both"/>
            <w:rPr>
              <w:rFonts w:ascii="Arial" w:hAnsi="Arial" w:cs="Arial"/>
              <w:b/>
              <w:sz w:val="16"/>
              <w:szCs w:val="16"/>
            </w:rPr>
          </w:pPr>
          <w:r w:rsidRPr="00F66E8C">
            <w:rPr>
              <w:rFonts w:ascii="Arial" w:hAnsi="Arial" w:cs="Arial"/>
              <w:b/>
              <w:sz w:val="16"/>
              <w:szCs w:val="16"/>
            </w:rPr>
            <w:t>Kesla Oyj</w:t>
          </w:r>
        </w:p>
        <w:p w14:paraId="3EFA00DA" w14:textId="77777777" w:rsidR="00F66E8C" w:rsidRPr="00F66E8C" w:rsidRDefault="00F66E8C" w:rsidP="00E375FD">
          <w:pPr>
            <w:jc w:val="both"/>
            <w:rPr>
              <w:rFonts w:ascii="Arial" w:hAnsi="Arial" w:cs="Arial"/>
              <w:sz w:val="16"/>
              <w:szCs w:val="16"/>
            </w:rPr>
          </w:pPr>
          <w:r w:rsidRPr="00F66E8C">
            <w:rPr>
              <w:rFonts w:ascii="Arial" w:hAnsi="Arial" w:cs="Arial"/>
              <w:sz w:val="16"/>
              <w:szCs w:val="16"/>
            </w:rPr>
            <w:t>VAT: FI01687158</w:t>
          </w:r>
        </w:p>
      </w:tc>
      <w:tc>
        <w:tcPr>
          <w:tcW w:w="1984" w:type="dxa"/>
        </w:tcPr>
        <w:p w14:paraId="17FF718E" w14:textId="77777777" w:rsidR="00F66E8C" w:rsidRPr="00F66E8C" w:rsidRDefault="00F66E8C" w:rsidP="00E375FD">
          <w:pPr>
            <w:jc w:val="both"/>
            <w:rPr>
              <w:rFonts w:ascii="Arial" w:hAnsi="Arial" w:cs="Arial"/>
              <w:sz w:val="16"/>
              <w:szCs w:val="16"/>
            </w:rPr>
          </w:pPr>
          <w:r w:rsidRPr="00F66E8C">
            <w:rPr>
              <w:rFonts w:ascii="Arial" w:hAnsi="Arial" w:cs="Arial"/>
              <w:sz w:val="16"/>
              <w:szCs w:val="16"/>
            </w:rPr>
            <w:t>Kuurnankatu 24</w:t>
          </w:r>
        </w:p>
        <w:p w14:paraId="3DB41D91" w14:textId="77777777" w:rsidR="00F66E8C" w:rsidRPr="00F66E8C" w:rsidRDefault="00F66E8C" w:rsidP="00E375FD">
          <w:pPr>
            <w:jc w:val="both"/>
            <w:rPr>
              <w:rFonts w:ascii="Arial" w:hAnsi="Arial" w:cs="Arial"/>
              <w:sz w:val="16"/>
              <w:szCs w:val="16"/>
            </w:rPr>
          </w:pPr>
          <w:r w:rsidRPr="00F66E8C">
            <w:rPr>
              <w:rFonts w:ascii="Arial" w:hAnsi="Arial" w:cs="Arial"/>
              <w:sz w:val="16"/>
              <w:szCs w:val="16"/>
            </w:rPr>
            <w:t>80100 JOENSUU</w:t>
          </w:r>
        </w:p>
      </w:tc>
      <w:tc>
        <w:tcPr>
          <w:tcW w:w="2127" w:type="dxa"/>
        </w:tcPr>
        <w:p w14:paraId="41DF1A5E" w14:textId="77777777" w:rsidR="00F66E8C" w:rsidRPr="00F66E8C" w:rsidRDefault="00F66E8C" w:rsidP="00E375FD">
          <w:pPr>
            <w:jc w:val="both"/>
            <w:rPr>
              <w:rFonts w:ascii="Arial" w:hAnsi="Arial" w:cs="Arial"/>
              <w:sz w:val="16"/>
              <w:szCs w:val="16"/>
            </w:rPr>
          </w:pPr>
          <w:r w:rsidRPr="00F66E8C">
            <w:rPr>
              <w:rFonts w:ascii="Arial" w:hAnsi="Arial" w:cs="Arial"/>
              <w:sz w:val="16"/>
              <w:szCs w:val="16"/>
            </w:rPr>
            <w:t>Metsolantie 2</w:t>
          </w:r>
        </w:p>
        <w:p w14:paraId="2703680F" w14:textId="77777777" w:rsidR="00F66E8C" w:rsidRPr="00F66E8C" w:rsidRDefault="00F66E8C" w:rsidP="00E375FD">
          <w:pPr>
            <w:jc w:val="both"/>
            <w:rPr>
              <w:rFonts w:ascii="Arial" w:hAnsi="Arial" w:cs="Arial"/>
              <w:sz w:val="16"/>
              <w:szCs w:val="16"/>
            </w:rPr>
          </w:pPr>
          <w:r w:rsidRPr="00F66E8C">
            <w:rPr>
              <w:rFonts w:ascii="Arial" w:hAnsi="Arial" w:cs="Arial"/>
              <w:sz w:val="16"/>
              <w:szCs w:val="16"/>
            </w:rPr>
            <w:t>59800 KESÄLAHTI</w:t>
          </w:r>
        </w:p>
      </w:tc>
      <w:tc>
        <w:tcPr>
          <w:tcW w:w="2131" w:type="dxa"/>
        </w:tcPr>
        <w:p w14:paraId="48BBCE1B" w14:textId="77777777" w:rsidR="00F66E8C" w:rsidRPr="00F66E8C" w:rsidRDefault="00F66E8C" w:rsidP="00F66E8C">
          <w:pPr>
            <w:rPr>
              <w:rFonts w:asciiTheme="majorHAnsi" w:hAnsiTheme="majorHAnsi" w:cstheme="majorHAnsi"/>
              <w:b/>
              <w:sz w:val="16"/>
              <w:szCs w:val="16"/>
            </w:rPr>
          </w:pPr>
          <w:r w:rsidRPr="00F66E8C">
            <w:rPr>
              <w:rFonts w:asciiTheme="majorHAnsi" w:hAnsiTheme="majorHAnsi" w:cstheme="majorHAnsi"/>
              <w:sz w:val="16"/>
              <w:szCs w:val="16"/>
            </w:rPr>
            <w:t xml:space="preserve">Teollisuustie 8 </w:t>
          </w:r>
          <w:r w:rsidRPr="00F66E8C">
            <w:rPr>
              <w:rFonts w:asciiTheme="majorHAnsi" w:hAnsiTheme="majorHAnsi" w:cstheme="majorHAnsi"/>
              <w:sz w:val="16"/>
              <w:szCs w:val="16"/>
            </w:rPr>
            <w:br/>
            <w:t>82900 ILOMANTSI</w:t>
          </w:r>
        </w:p>
      </w:tc>
      <w:tc>
        <w:tcPr>
          <w:tcW w:w="1411" w:type="dxa"/>
        </w:tcPr>
        <w:p w14:paraId="67DEC6A9" w14:textId="77777777" w:rsidR="00F66E8C" w:rsidRPr="00AA4E54" w:rsidRDefault="00F66E8C" w:rsidP="00E375FD">
          <w:pPr>
            <w:jc w:val="both"/>
            <w:rPr>
              <w:rFonts w:ascii="Arial" w:hAnsi="Arial" w:cs="Arial"/>
              <w:b/>
              <w:color w:val="F9A13A"/>
              <w:sz w:val="16"/>
              <w:szCs w:val="16"/>
            </w:rPr>
          </w:pPr>
          <w:r w:rsidRPr="00AA4E54">
            <w:rPr>
              <w:rFonts w:ascii="Arial" w:hAnsi="Arial" w:cs="Arial"/>
              <w:b/>
              <w:color w:val="F9A13A"/>
              <w:sz w:val="16"/>
              <w:szCs w:val="16"/>
            </w:rPr>
            <w:t>www.kesla.com</w:t>
          </w:r>
        </w:p>
      </w:tc>
    </w:tr>
  </w:tbl>
  <w:p w14:paraId="65883E23" w14:textId="77777777" w:rsidR="00E375FD" w:rsidRPr="00E375FD" w:rsidRDefault="00E375FD" w:rsidP="00E375FD">
    <w:pPr>
      <w:jc w:val="both"/>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9D021" w14:textId="77777777" w:rsidR="00133A29" w:rsidRDefault="00133A29" w:rsidP="0084217C">
      <w:r>
        <w:separator/>
      </w:r>
    </w:p>
  </w:footnote>
  <w:footnote w:type="continuationSeparator" w:id="0">
    <w:p w14:paraId="4C5A36F2" w14:textId="77777777" w:rsidR="00133A29" w:rsidRDefault="00133A29" w:rsidP="00842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3F269" w14:textId="77777777" w:rsidR="0084217C" w:rsidRDefault="00324961" w:rsidP="00324961">
    <w:pPr>
      <w:pStyle w:val="Yltunniste"/>
      <w:ind w:hanging="1134"/>
    </w:pPr>
    <w:r>
      <w:rPr>
        <w:noProof/>
        <w:lang w:eastAsia="fi-FI"/>
      </w:rPr>
      <w:drawing>
        <wp:inline distT="0" distB="0" distL="0" distR="0" wp14:anchorId="5BEA00EE" wp14:editId="3B32922A">
          <wp:extent cx="10096744" cy="542657"/>
          <wp:effectExtent l="0" t="0" r="0" b="0"/>
          <wp:docPr id="16" name="Kuv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ader-2.png"/>
                  <pic:cNvPicPr/>
                </pic:nvPicPr>
                <pic:blipFill>
                  <a:blip r:embed="rId1">
                    <a:extLst>
                      <a:ext uri="{28A0092B-C50C-407E-A947-70E740481C1C}">
                        <a14:useLocalDpi xmlns:a14="http://schemas.microsoft.com/office/drawing/2010/main" val="0"/>
                      </a:ext>
                    </a:extLst>
                  </a:blip>
                  <a:stretch>
                    <a:fillRect/>
                  </a:stretch>
                </pic:blipFill>
                <pic:spPr>
                  <a:xfrm>
                    <a:off x="0" y="0"/>
                    <a:ext cx="11568293" cy="621746"/>
                  </a:xfrm>
                  <a:prstGeom prst="rect">
                    <a:avLst/>
                  </a:prstGeom>
                </pic:spPr>
              </pic:pic>
            </a:graphicData>
          </a:graphic>
        </wp:inline>
      </w:drawing>
    </w:r>
  </w:p>
  <w:p w14:paraId="5F5793B0" w14:textId="00CBBBB2" w:rsidR="001D3C1E" w:rsidRPr="001D3C1E" w:rsidRDefault="001D3C1E" w:rsidP="001D3C1E">
    <w:pPr>
      <w:pStyle w:val="Yltunniste"/>
      <w:ind w:left="-1134"/>
      <w:jc w:val="right"/>
      <w:rPr>
        <w:rFonts w:ascii="Arial" w:hAnsi="Arial" w:cs="Arial"/>
        <w:sz w:val="18"/>
        <w:szCs w:val="18"/>
      </w:rPr>
    </w:pPr>
    <w:r w:rsidRPr="001D3C1E">
      <w:rPr>
        <w:rFonts w:ascii="Arial" w:hAnsi="Arial" w:cs="Arial"/>
        <w:sz w:val="18"/>
        <w:szCs w:val="18"/>
      </w:rPr>
      <w:fldChar w:fldCharType="begin"/>
    </w:r>
    <w:r w:rsidRPr="001D3C1E">
      <w:rPr>
        <w:rFonts w:ascii="Arial" w:hAnsi="Arial" w:cs="Arial"/>
        <w:sz w:val="18"/>
        <w:szCs w:val="18"/>
      </w:rPr>
      <w:instrText xml:space="preserve"> TIME \@ "d.M.yyyy" </w:instrText>
    </w:r>
    <w:r w:rsidRPr="001D3C1E">
      <w:rPr>
        <w:rFonts w:ascii="Arial" w:hAnsi="Arial" w:cs="Arial"/>
        <w:sz w:val="18"/>
        <w:szCs w:val="18"/>
      </w:rPr>
      <w:fldChar w:fldCharType="separate"/>
    </w:r>
    <w:r w:rsidR="00355191">
      <w:rPr>
        <w:rFonts w:ascii="Arial" w:hAnsi="Arial" w:cs="Arial"/>
        <w:noProof/>
        <w:sz w:val="18"/>
        <w:szCs w:val="18"/>
      </w:rPr>
      <w:t>10.2.2022</w:t>
    </w:r>
    <w:r w:rsidRPr="001D3C1E">
      <w:rPr>
        <w:rFonts w:ascii="Arial" w:hAnsi="Arial" w:cs="Arial"/>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B4457"/>
    <w:multiLevelType w:val="hybridMultilevel"/>
    <w:tmpl w:val="B2AE4024"/>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64445B43"/>
    <w:multiLevelType w:val="hybridMultilevel"/>
    <w:tmpl w:val="CEF628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729752B2"/>
    <w:multiLevelType w:val="hybridMultilevel"/>
    <w:tmpl w:val="0FD25E56"/>
    <w:lvl w:ilvl="0" w:tplc="35FA276E">
      <w:start w:val="20"/>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 w15:restartNumberingAfterBreak="0">
    <w:nsid w:val="730C76A6"/>
    <w:multiLevelType w:val="hybridMultilevel"/>
    <w:tmpl w:val="CEB6A4F6"/>
    <w:lvl w:ilvl="0" w:tplc="CA047D14">
      <w:start w:val="1"/>
      <w:numFmt w:val="decimal"/>
      <w:lvlText w:val="%1."/>
      <w:lvlJc w:val="left"/>
      <w:pPr>
        <w:ind w:left="720" w:hanging="360"/>
      </w:pPr>
      <w:rPr>
        <w:rFonts w:hint="default"/>
        <w:b/>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7F8867DA"/>
    <w:multiLevelType w:val="hybridMultilevel"/>
    <w:tmpl w:val="6DBE9732"/>
    <w:lvl w:ilvl="0" w:tplc="1B747852">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num w:numId="1">
    <w:abstractNumId w:val="0"/>
  </w:num>
  <w:num w:numId="2">
    <w:abstractNumId w:val="3"/>
  </w:num>
  <w:num w:numId="3">
    <w:abstractNumId w:val="4"/>
  </w:num>
  <w:num w:numId="4">
    <w:abstractNumId w:val="2"/>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EBC"/>
    <w:rsid w:val="00003D3B"/>
    <w:rsid w:val="000258AA"/>
    <w:rsid w:val="000260FB"/>
    <w:rsid w:val="00030A8A"/>
    <w:rsid w:val="000435EE"/>
    <w:rsid w:val="000542F9"/>
    <w:rsid w:val="000576EC"/>
    <w:rsid w:val="00063F97"/>
    <w:rsid w:val="00066A66"/>
    <w:rsid w:val="0007363F"/>
    <w:rsid w:val="000802CE"/>
    <w:rsid w:val="00085511"/>
    <w:rsid w:val="00087481"/>
    <w:rsid w:val="00094865"/>
    <w:rsid w:val="000A3C5B"/>
    <w:rsid w:val="000B5F48"/>
    <w:rsid w:val="000B729D"/>
    <w:rsid w:val="000B7D6F"/>
    <w:rsid w:val="000D4301"/>
    <w:rsid w:val="000E1D7A"/>
    <w:rsid w:val="000F2311"/>
    <w:rsid w:val="000F535A"/>
    <w:rsid w:val="000F6727"/>
    <w:rsid w:val="00105464"/>
    <w:rsid w:val="00117308"/>
    <w:rsid w:val="00133A29"/>
    <w:rsid w:val="00141183"/>
    <w:rsid w:val="00144429"/>
    <w:rsid w:val="00147D5D"/>
    <w:rsid w:val="001554A6"/>
    <w:rsid w:val="001577DE"/>
    <w:rsid w:val="00160291"/>
    <w:rsid w:val="00161D65"/>
    <w:rsid w:val="0017017B"/>
    <w:rsid w:val="00170C86"/>
    <w:rsid w:val="001735C2"/>
    <w:rsid w:val="001A21A1"/>
    <w:rsid w:val="001C2EBE"/>
    <w:rsid w:val="001D244D"/>
    <w:rsid w:val="001D3C1E"/>
    <w:rsid w:val="001D5B1D"/>
    <w:rsid w:val="001E2CDA"/>
    <w:rsid w:val="001E6553"/>
    <w:rsid w:val="001F277A"/>
    <w:rsid w:val="00221D98"/>
    <w:rsid w:val="00222AD2"/>
    <w:rsid w:val="002242E5"/>
    <w:rsid w:val="00225004"/>
    <w:rsid w:val="00227D5E"/>
    <w:rsid w:val="00236463"/>
    <w:rsid w:val="00240ED3"/>
    <w:rsid w:val="00243B89"/>
    <w:rsid w:val="00254271"/>
    <w:rsid w:val="002853CF"/>
    <w:rsid w:val="0029424F"/>
    <w:rsid w:val="002A2182"/>
    <w:rsid w:val="002D5D58"/>
    <w:rsid w:val="002D7F8B"/>
    <w:rsid w:val="002E0234"/>
    <w:rsid w:val="002E3559"/>
    <w:rsid w:val="002F1B21"/>
    <w:rsid w:val="002F40DA"/>
    <w:rsid w:val="0030538A"/>
    <w:rsid w:val="00306340"/>
    <w:rsid w:val="00313D03"/>
    <w:rsid w:val="00324961"/>
    <w:rsid w:val="003328B0"/>
    <w:rsid w:val="00342FD0"/>
    <w:rsid w:val="00354762"/>
    <w:rsid w:val="00355191"/>
    <w:rsid w:val="003552F0"/>
    <w:rsid w:val="003575E8"/>
    <w:rsid w:val="003652FB"/>
    <w:rsid w:val="003730D1"/>
    <w:rsid w:val="00374546"/>
    <w:rsid w:val="003844BA"/>
    <w:rsid w:val="0039558B"/>
    <w:rsid w:val="003A70C2"/>
    <w:rsid w:val="003B1A18"/>
    <w:rsid w:val="003B1BDC"/>
    <w:rsid w:val="003B2576"/>
    <w:rsid w:val="003C0EBC"/>
    <w:rsid w:val="003F7F4A"/>
    <w:rsid w:val="00400BE3"/>
    <w:rsid w:val="00434AE0"/>
    <w:rsid w:val="00454E19"/>
    <w:rsid w:val="00462F60"/>
    <w:rsid w:val="00475507"/>
    <w:rsid w:val="004858F6"/>
    <w:rsid w:val="00492F3A"/>
    <w:rsid w:val="00497C89"/>
    <w:rsid w:val="004A2F4C"/>
    <w:rsid w:val="004A2F92"/>
    <w:rsid w:val="004C22B4"/>
    <w:rsid w:val="004C4B8A"/>
    <w:rsid w:val="004C65E3"/>
    <w:rsid w:val="004E4B1C"/>
    <w:rsid w:val="004F59B4"/>
    <w:rsid w:val="004F7415"/>
    <w:rsid w:val="00505301"/>
    <w:rsid w:val="00505C91"/>
    <w:rsid w:val="00577150"/>
    <w:rsid w:val="00584440"/>
    <w:rsid w:val="005B1D9C"/>
    <w:rsid w:val="005C05FF"/>
    <w:rsid w:val="005C0F98"/>
    <w:rsid w:val="005C132F"/>
    <w:rsid w:val="005D29EC"/>
    <w:rsid w:val="005F5630"/>
    <w:rsid w:val="00603AE0"/>
    <w:rsid w:val="00607420"/>
    <w:rsid w:val="00624E2C"/>
    <w:rsid w:val="00631410"/>
    <w:rsid w:val="006359E5"/>
    <w:rsid w:val="0063615A"/>
    <w:rsid w:val="006632BE"/>
    <w:rsid w:val="00664DC6"/>
    <w:rsid w:val="006A2943"/>
    <w:rsid w:val="006A2B80"/>
    <w:rsid w:val="006A44D1"/>
    <w:rsid w:val="006B47E5"/>
    <w:rsid w:val="006D192A"/>
    <w:rsid w:val="006E352E"/>
    <w:rsid w:val="006E7D85"/>
    <w:rsid w:val="006F2F5B"/>
    <w:rsid w:val="006F7E1A"/>
    <w:rsid w:val="0070048E"/>
    <w:rsid w:val="00701B3C"/>
    <w:rsid w:val="007052C7"/>
    <w:rsid w:val="00707F0F"/>
    <w:rsid w:val="00716F74"/>
    <w:rsid w:val="00720E39"/>
    <w:rsid w:val="0072120C"/>
    <w:rsid w:val="00723215"/>
    <w:rsid w:val="0072753A"/>
    <w:rsid w:val="00744835"/>
    <w:rsid w:val="007C19E5"/>
    <w:rsid w:val="007C6244"/>
    <w:rsid w:val="007D47BB"/>
    <w:rsid w:val="007F60A8"/>
    <w:rsid w:val="00800B99"/>
    <w:rsid w:val="00802F18"/>
    <w:rsid w:val="00804FF0"/>
    <w:rsid w:val="00814254"/>
    <w:rsid w:val="008251B9"/>
    <w:rsid w:val="00836020"/>
    <w:rsid w:val="0083639F"/>
    <w:rsid w:val="00840FB2"/>
    <w:rsid w:val="0084217C"/>
    <w:rsid w:val="00846A35"/>
    <w:rsid w:val="00846B6A"/>
    <w:rsid w:val="0085261E"/>
    <w:rsid w:val="00853788"/>
    <w:rsid w:val="00856270"/>
    <w:rsid w:val="00857A68"/>
    <w:rsid w:val="00867EDB"/>
    <w:rsid w:val="0087086C"/>
    <w:rsid w:val="008804C4"/>
    <w:rsid w:val="00883B3C"/>
    <w:rsid w:val="00883DB0"/>
    <w:rsid w:val="008A21E2"/>
    <w:rsid w:val="008A2E63"/>
    <w:rsid w:val="008A37C3"/>
    <w:rsid w:val="008B2887"/>
    <w:rsid w:val="008B7B7D"/>
    <w:rsid w:val="008D3814"/>
    <w:rsid w:val="008D5134"/>
    <w:rsid w:val="008E3BB6"/>
    <w:rsid w:val="008E4064"/>
    <w:rsid w:val="008F2285"/>
    <w:rsid w:val="008F4722"/>
    <w:rsid w:val="00904FA6"/>
    <w:rsid w:val="00912FEF"/>
    <w:rsid w:val="009157FA"/>
    <w:rsid w:val="00921B7D"/>
    <w:rsid w:val="00927BE4"/>
    <w:rsid w:val="00931434"/>
    <w:rsid w:val="0094046D"/>
    <w:rsid w:val="009405A9"/>
    <w:rsid w:val="0094660B"/>
    <w:rsid w:val="00975BC0"/>
    <w:rsid w:val="009860A2"/>
    <w:rsid w:val="0099158A"/>
    <w:rsid w:val="009A26D7"/>
    <w:rsid w:val="009A28CD"/>
    <w:rsid w:val="009A2A85"/>
    <w:rsid w:val="009B07D4"/>
    <w:rsid w:val="009B7232"/>
    <w:rsid w:val="009B7AAF"/>
    <w:rsid w:val="009C2DE2"/>
    <w:rsid w:val="009C41E9"/>
    <w:rsid w:val="009E0F78"/>
    <w:rsid w:val="00A03BA1"/>
    <w:rsid w:val="00A1698A"/>
    <w:rsid w:val="00A179E0"/>
    <w:rsid w:val="00A24D14"/>
    <w:rsid w:val="00A33119"/>
    <w:rsid w:val="00A50B4D"/>
    <w:rsid w:val="00A50E6D"/>
    <w:rsid w:val="00A613C8"/>
    <w:rsid w:val="00A66642"/>
    <w:rsid w:val="00A673DB"/>
    <w:rsid w:val="00A8745B"/>
    <w:rsid w:val="00A94519"/>
    <w:rsid w:val="00AA4E54"/>
    <w:rsid w:val="00AB4D3F"/>
    <w:rsid w:val="00AC06CE"/>
    <w:rsid w:val="00AC1EAE"/>
    <w:rsid w:val="00AC7980"/>
    <w:rsid w:val="00AE0A39"/>
    <w:rsid w:val="00AF6820"/>
    <w:rsid w:val="00B0757D"/>
    <w:rsid w:val="00B12BDF"/>
    <w:rsid w:val="00B30805"/>
    <w:rsid w:val="00B41681"/>
    <w:rsid w:val="00B420A2"/>
    <w:rsid w:val="00B5718E"/>
    <w:rsid w:val="00B67B37"/>
    <w:rsid w:val="00BA3228"/>
    <w:rsid w:val="00BA3DAE"/>
    <w:rsid w:val="00BB2ABE"/>
    <w:rsid w:val="00BB57F8"/>
    <w:rsid w:val="00BB63FF"/>
    <w:rsid w:val="00BD00F7"/>
    <w:rsid w:val="00BD3EBD"/>
    <w:rsid w:val="00BD6B4E"/>
    <w:rsid w:val="00BE1DC4"/>
    <w:rsid w:val="00BF3503"/>
    <w:rsid w:val="00BF6A42"/>
    <w:rsid w:val="00C13B12"/>
    <w:rsid w:val="00C2018C"/>
    <w:rsid w:val="00C20524"/>
    <w:rsid w:val="00C33C60"/>
    <w:rsid w:val="00C45AF3"/>
    <w:rsid w:val="00C53464"/>
    <w:rsid w:val="00C57C59"/>
    <w:rsid w:val="00C617D3"/>
    <w:rsid w:val="00C719B8"/>
    <w:rsid w:val="00C71EB7"/>
    <w:rsid w:val="00C752D5"/>
    <w:rsid w:val="00C81057"/>
    <w:rsid w:val="00C84E57"/>
    <w:rsid w:val="00C86506"/>
    <w:rsid w:val="00CA3993"/>
    <w:rsid w:val="00CB2AD2"/>
    <w:rsid w:val="00CB5D07"/>
    <w:rsid w:val="00CB69A5"/>
    <w:rsid w:val="00CC23C6"/>
    <w:rsid w:val="00CC4D8F"/>
    <w:rsid w:val="00CC7E4D"/>
    <w:rsid w:val="00CD22B2"/>
    <w:rsid w:val="00CE11FD"/>
    <w:rsid w:val="00CE2D25"/>
    <w:rsid w:val="00CF429B"/>
    <w:rsid w:val="00D01CB1"/>
    <w:rsid w:val="00D17EE6"/>
    <w:rsid w:val="00D25DC9"/>
    <w:rsid w:val="00D31D43"/>
    <w:rsid w:val="00D5046D"/>
    <w:rsid w:val="00D56C49"/>
    <w:rsid w:val="00D57B7C"/>
    <w:rsid w:val="00D611B4"/>
    <w:rsid w:val="00D85CA7"/>
    <w:rsid w:val="00D9073B"/>
    <w:rsid w:val="00D91F63"/>
    <w:rsid w:val="00DA54E1"/>
    <w:rsid w:val="00DC6967"/>
    <w:rsid w:val="00DD45C2"/>
    <w:rsid w:val="00DF4E69"/>
    <w:rsid w:val="00E03586"/>
    <w:rsid w:val="00E04545"/>
    <w:rsid w:val="00E1301F"/>
    <w:rsid w:val="00E175BA"/>
    <w:rsid w:val="00E375FD"/>
    <w:rsid w:val="00E41E89"/>
    <w:rsid w:val="00E51D05"/>
    <w:rsid w:val="00E568FA"/>
    <w:rsid w:val="00E65582"/>
    <w:rsid w:val="00E72F89"/>
    <w:rsid w:val="00E776BC"/>
    <w:rsid w:val="00E8761F"/>
    <w:rsid w:val="00E95F54"/>
    <w:rsid w:val="00EA5614"/>
    <w:rsid w:val="00EA6702"/>
    <w:rsid w:val="00EB5114"/>
    <w:rsid w:val="00ED3BD3"/>
    <w:rsid w:val="00ED4650"/>
    <w:rsid w:val="00EE62C2"/>
    <w:rsid w:val="00EF3DEE"/>
    <w:rsid w:val="00EF40EE"/>
    <w:rsid w:val="00EF4FE6"/>
    <w:rsid w:val="00F04C94"/>
    <w:rsid w:val="00F07549"/>
    <w:rsid w:val="00F07D5B"/>
    <w:rsid w:val="00F10339"/>
    <w:rsid w:val="00F11D7F"/>
    <w:rsid w:val="00F2372F"/>
    <w:rsid w:val="00F31FE1"/>
    <w:rsid w:val="00F400C9"/>
    <w:rsid w:val="00F42962"/>
    <w:rsid w:val="00F53B6A"/>
    <w:rsid w:val="00F66E8C"/>
    <w:rsid w:val="00F9581E"/>
    <w:rsid w:val="00FA0432"/>
    <w:rsid w:val="00FA0FFE"/>
    <w:rsid w:val="00FB3D8D"/>
    <w:rsid w:val="00FB4383"/>
    <w:rsid w:val="00FC011C"/>
    <w:rsid w:val="00FC1B6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380CC1C"/>
  <w15:chartTrackingRefBased/>
  <w15:docId w15:val="{283F6194-4434-42EC-B10F-EE31ED1C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260FB"/>
    <w:pPr>
      <w:jc w:val="left"/>
    </w:pPr>
    <w:rPr>
      <w:rFonts w:cstheme="minorHAnsi"/>
      <w:sz w:val="20"/>
    </w:rPr>
  </w:style>
  <w:style w:type="paragraph" w:styleId="Otsikko1">
    <w:name w:val="heading 1"/>
    <w:basedOn w:val="Normaali"/>
    <w:next w:val="Normaali"/>
    <w:link w:val="Otsikko1Char"/>
    <w:uiPriority w:val="9"/>
    <w:qFormat/>
    <w:rsid w:val="000260FB"/>
    <w:pPr>
      <w:keepNext/>
      <w:keepLines/>
      <w:spacing w:before="240"/>
      <w:outlineLvl w:val="0"/>
    </w:pPr>
    <w:rPr>
      <w:rFonts w:asciiTheme="majorHAnsi" w:eastAsiaTheme="majorEastAsia" w:hAnsiTheme="majorHAnsi" w:cstheme="majorBidi"/>
      <w:color w:val="3E3E3E" w:themeColor="background2" w:themeShade="40"/>
      <w:sz w:val="32"/>
      <w:szCs w:val="32"/>
    </w:rPr>
  </w:style>
  <w:style w:type="paragraph" w:styleId="Otsikko2">
    <w:name w:val="heading 2"/>
    <w:basedOn w:val="Normaali"/>
    <w:next w:val="Normaali"/>
    <w:link w:val="Otsikko2Char"/>
    <w:uiPriority w:val="9"/>
    <w:unhideWhenUsed/>
    <w:qFormat/>
    <w:rsid w:val="00BE1DC4"/>
    <w:pPr>
      <w:keepNext/>
      <w:keepLines/>
      <w:spacing w:before="40"/>
      <w:outlineLvl w:val="1"/>
    </w:pPr>
    <w:rPr>
      <w:rFonts w:asciiTheme="majorHAnsi" w:eastAsiaTheme="majorEastAsia" w:hAnsiTheme="majorHAnsi" w:cstheme="majorBidi"/>
      <w:b/>
      <w:color w:val="3E3E3E" w:themeColor="background2" w:themeShade="40"/>
      <w:sz w:val="26"/>
      <w:szCs w:val="26"/>
    </w:rPr>
  </w:style>
  <w:style w:type="paragraph" w:styleId="Otsikko3">
    <w:name w:val="heading 3"/>
    <w:basedOn w:val="Normaali"/>
    <w:next w:val="Normaali"/>
    <w:link w:val="Otsikko3Char"/>
    <w:uiPriority w:val="9"/>
    <w:unhideWhenUsed/>
    <w:rsid w:val="000260FB"/>
    <w:pPr>
      <w:keepNext/>
      <w:keepLines/>
      <w:spacing w:before="40"/>
      <w:outlineLvl w:val="2"/>
    </w:pPr>
    <w:rPr>
      <w:rFonts w:asciiTheme="majorHAnsi" w:eastAsiaTheme="majorEastAsia" w:hAnsiTheme="majorHAnsi" w:cstheme="majorBidi"/>
      <w:color w:val="3E3E3E" w:themeColor="background2" w:themeShade="40"/>
      <w:sz w:val="24"/>
      <w:szCs w:val="24"/>
    </w:rPr>
  </w:style>
  <w:style w:type="paragraph" w:styleId="Otsikko4">
    <w:name w:val="heading 4"/>
    <w:basedOn w:val="Normaali"/>
    <w:next w:val="Normaali"/>
    <w:link w:val="Otsikko4Char"/>
    <w:uiPriority w:val="9"/>
    <w:unhideWhenUsed/>
    <w:rsid w:val="000260FB"/>
    <w:pPr>
      <w:keepNext/>
      <w:keepLines/>
      <w:spacing w:before="40"/>
      <w:outlineLvl w:val="3"/>
    </w:pPr>
    <w:rPr>
      <w:rFonts w:asciiTheme="majorHAnsi" w:eastAsiaTheme="majorEastAsia" w:hAnsiTheme="majorHAnsi" w:cstheme="majorBidi"/>
      <w:i/>
      <w:iCs/>
      <w:color w:val="A5A5A5" w:themeColor="accent1" w:themeShade="BF"/>
    </w:rPr>
  </w:style>
  <w:style w:type="paragraph" w:styleId="Otsikko5">
    <w:name w:val="heading 5"/>
    <w:basedOn w:val="Normaali"/>
    <w:next w:val="Normaali"/>
    <w:link w:val="Otsikko5Char"/>
    <w:uiPriority w:val="9"/>
    <w:unhideWhenUsed/>
    <w:qFormat/>
    <w:rsid w:val="000260FB"/>
    <w:pPr>
      <w:keepNext/>
      <w:keepLines/>
      <w:spacing w:before="40"/>
      <w:outlineLvl w:val="4"/>
    </w:pPr>
    <w:rPr>
      <w:rFonts w:asciiTheme="majorHAnsi" w:eastAsiaTheme="majorEastAsia" w:hAnsiTheme="majorHAnsi" w:cstheme="majorBidi"/>
      <w:color w:val="A5A5A5" w:themeColor="accent1" w:themeShade="BF"/>
    </w:rPr>
  </w:style>
  <w:style w:type="paragraph" w:styleId="Otsikko6">
    <w:name w:val="heading 6"/>
    <w:basedOn w:val="Normaali"/>
    <w:next w:val="Normaali"/>
    <w:link w:val="Otsikko6Char"/>
    <w:uiPriority w:val="9"/>
    <w:unhideWhenUsed/>
    <w:qFormat/>
    <w:rsid w:val="000260FB"/>
    <w:pPr>
      <w:keepNext/>
      <w:keepLines/>
      <w:spacing w:before="40"/>
      <w:outlineLvl w:val="5"/>
    </w:pPr>
    <w:rPr>
      <w:rFonts w:asciiTheme="majorHAnsi" w:eastAsiaTheme="majorEastAsia" w:hAnsiTheme="majorHAnsi" w:cstheme="majorBidi"/>
      <w:color w:val="6E6E6E" w:themeColor="accent1" w:themeShade="7F"/>
    </w:rPr>
  </w:style>
  <w:style w:type="paragraph" w:styleId="Otsikko7">
    <w:name w:val="heading 7"/>
    <w:basedOn w:val="Normaali"/>
    <w:next w:val="Normaali"/>
    <w:link w:val="Otsikko7Char"/>
    <w:uiPriority w:val="9"/>
    <w:unhideWhenUsed/>
    <w:rsid w:val="000260FB"/>
    <w:pPr>
      <w:keepNext/>
      <w:keepLines/>
      <w:spacing w:before="40"/>
      <w:outlineLvl w:val="6"/>
    </w:pPr>
    <w:rPr>
      <w:rFonts w:asciiTheme="majorHAnsi" w:eastAsiaTheme="majorEastAsia" w:hAnsiTheme="majorHAnsi" w:cstheme="majorBidi"/>
      <w:i/>
      <w:iCs/>
      <w:color w:val="6E6E6E"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Kuvaotsikko">
    <w:name w:val="caption"/>
    <w:basedOn w:val="Normaali"/>
    <w:next w:val="Normaali"/>
    <w:uiPriority w:val="35"/>
    <w:unhideWhenUsed/>
    <w:rsid w:val="004F7415"/>
    <w:pPr>
      <w:spacing w:after="200"/>
    </w:pPr>
    <w:rPr>
      <w:i/>
      <w:iCs/>
      <w:color w:val="000000" w:themeColor="text2"/>
      <w:sz w:val="18"/>
      <w:szCs w:val="18"/>
    </w:rPr>
  </w:style>
  <w:style w:type="paragraph" w:styleId="Eivli">
    <w:name w:val="No Spacing"/>
    <w:link w:val="EivliChar"/>
    <w:uiPriority w:val="1"/>
    <w:rsid w:val="004F7415"/>
    <w:pPr>
      <w:jc w:val="left"/>
    </w:pPr>
    <w:rPr>
      <w:rFonts w:eastAsiaTheme="minorEastAsia"/>
      <w:lang w:eastAsia="fi-FI"/>
    </w:rPr>
  </w:style>
  <w:style w:type="character" w:customStyle="1" w:styleId="EivliChar">
    <w:name w:val="Ei väliä Char"/>
    <w:basedOn w:val="Kappaleenoletusfontti"/>
    <w:link w:val="Eivli"/>
    <w:uiPriority w:val="1"/>
    <w:rsid w:val="004F7415"/>
    <w:rPr>
      <w:rFonts w:eastAsiaTheme="minorEastAsia"/>
      <w:lang w:eastAsia="fi-FI"/>
    </w:rPr>
  </w:style>
  <w:style w:type="paragraph" w:styleId="Luettelokappale">
    <w:name w:val="List Paragraph"/>
    <w:basedOn w:val="Normaali"/>
    <w:uiPriority w:val="34"/>
    <w:qFormat/>
    <w:rsid w:val="004F7415"/>
    <w:pPr>
      <w:autoSpaceDE w:val="0"/>
      <w:autoSpaceDN w:val="0"/>
      <w:ind w:left="720"/>
      <w:contextualSpacing/>
    </w:pPr>
    <w:rPr>
      <w:rFonts w:ascii="Times New Roman" w:eastAsia="Times New Roman" w:hAnsi="Times New Roman" w:cs="Times New Roman"/>
      <w:sz w:val="24"/>
      <w:szCs w:val="24"/>
      <w:lang w:eastAsia="fi-FI"/>
    </w:rPr>
  </w:style>
  <w:style w:type="character" w:styleId="Hienovarainenviittaus">
    <w:name w:val="Subtle Reference"/>
    <w:basedOn w:val="Kappaleenoletusfontti"/>
    <w:uiPriority w:val="31"/>
    <w:qFormat/>
    <w:rsid w:val="004F7415"/>
    <w:rPr>
      <w:smallCaps/>
      <w:color w:val="5A5A5A" w:themeColor="text1" w:themeTint="A5"/>
    </w:rPr>
  </w:style>
  <w:style w:type="paragraph" w:styleId="Yltunniste">
    <w:name w:val="header"/>
    <w:basedOn w:val="Normaali"/>
    <w:link w:val="YltunnisteChar"/>
    <w:uiPriority w:val="99"/>
    <w:unhideWhenUsed/>
    <w:rsid w:val="0084217C"/>
    <w:pPr>
      <w:tabs>
        <w:tab w:val="center" w:pos="4819"/>
        <w:tab w:val="right" w:pos="9638"/>
      </w:tabs>
    </w:pPr>
  </w:style>
  <w:style w:type="character" w:customStyle="1" w:styleId="YltunnisteChar">
    <w:name w:val="Ylätunniste Char"/>
    <w:basedOn w:val="Kappaleenoletusfontti"/>
    <w:link w:val="Yltunniste"/>
    <w:uiPriority w:val="99"/>
    <w:rsid w:val="0084217C"/>
  </w:style>
  <w:style w:type="paragraph" w:styleId="Alatunniste">
    <w:name w:val="footer"/>
    <w:basedOn w:val="Normaali"/>
    <w:link w:val="AlatunnisteChar"/>
    <w:uiPriority w:val="99"/>
    <w:unhideWhenUsed/>
    <w:rsid w:val="0084217C"/>
    <w:pPr>
      <w:tabs>
        <w:tab w:val="center" w:pos="4819"/>
        <w:tab w:val="right" w:pos="9638"/>
      </w:tabs>
    </w:pPr>
  </w:style>
  <w:style w:type="character" w:customStyle="1" w:styleId="AlatunnisteChar">
    <w:name w:val="Alatunniste Char"/>
    <w:basedOn w:val="Kappaleenoletusfontti"/>
    <w:link w:val="Alatunniste"/>
    <w:uiPriority w:val="99"/>
    <w:rsid w:val="0084217C"/>
  </w:style>
  <w:style w:type="table" w:styleId="TaulukkoRuudukko">
    <w:name w:val="Table Grid"/>
    <w:basedOn w:val="Normaalitaulukko"/>
    <w:uiPriority w:val="39"/>
    <w:rsid w:val="00E37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tsikko">
    <w:name w:val="Title"/>
    <w:basedOn w:val="Normaali"/>
    <w:next w:val="Normaali"/>
    <w:link w:val="OtsikkoChar"/>
    <w:uiPriority w:val="10"/>
    <w:rsid w:val="000260FB"/>
    <w:pPr>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260FB"/>
    <w:rPr>
      <w:rFonts w:asciiTheme="majorHAnsi" w:eastAsiaTheme="majorEastAsia" w:hAnsiTheme="majorHAnsi" w:cstheme="majorBidi"/>
      <w:spacing w:val="-10"/>
      <w:kern w:val="28"/>
      <w:sz w:val="56"/>
      <w:szCs w:val="56"/>
    </w:rPr>
  </w:style>
  <w:style w:type="character" w:customStyle="1" w:styleId="Otsikko2Char">
    <w:name w:val="Otsikko 2 Char"/>
    <w:basedOn w:val="Kappaleenoletusfontti"/>
    <w:link w:val="Otsikko2"/>
    <w:uiPriority w:val="9"/>
    <w:rsid w:val="00BE1DC4"/>
    <w:rPr>
      <w:rFonts w:asciiTheme="majorHAnsi" w:eastAsiaTheme="majorEastAsia" w:hAnsiTheme="majorHAnsi" w:cstheme="majorBidi"/>
      <w:b/>
      <w:color w:val="3E3E3E" w:themeColor="background2" w:themeShade="40"/>
      <w:sz w:val="26"/>
      <w:szCs w:val="26"/>
    </w:rPr>
  </w:style>
  <w:style w:type="character" w:customStyle="1" w:styleId="Otsikko1Char">
    <w:name w:val="Otsikko 1 Char"/>
    <w:basedOn w:val="Kappaleenoletusfontti"/>
    <w:link w:val="Otsikko1"/>
    <w:uiPriority w:val="9"/>
    <w:rsid w:val="000260FB"/>
    <w:rPr>
      <w:rFonts w:asciiTheme="majorHAnsi" w:eastAsiaTheme="majorEastAsia" w:hAnsiTheme="majorHAnsi" w:cstheme="majorBidi"/>
      <w:color w:val="3E3E3E" w:themeColor="background2" w:themeShade="40"/>
      <w:sz w:val="32"/>
      <w:szCs w:val="32"/>
    </w:rPr>
  </w:style>
  <w:style w:type="character" w:styleId="Hienovarainenkorostus">
    <w:name w:val="Subtle Emphasis"/>
    <w:basedOn w:val="Kappaleenoletusfontti"/>
    <w:uiPriority w:val="19"/>
    <w:rsid w:val="000260FB"/>
    <w:rPr>
      <w:i/>
      <w:iCs/>
      <w:color w:val="404040" w:themeColor="text1" w:themeTint="BF"/>
    </w:rPr>
  </w:style>
  <w:style w:type="character" w:styleId="Korostus">
    <w:name w:val="Emphasis"/>
    <w:basedOn w:val="Kappaleenoletusfontti"/>
    <w:uiPriority w:val="20"/>
    <w:qFormat/>
    <w:rsid w:val="000260FB"/>
    <w:rPr>
      <w:i/>
      <w:iCs/>
    </w:rPr>
  </w:style>
  <w:style w:type="character" w:styleId="Voimakas">
    <w:name w:val="Strong"/>
    <w:basedOn w:val="Kappaleenoletusfontti"/>
    <w:uiPriority w:val="22"/>
    <w:qFormat/>
    <w:rsid w:val="000260FB"/>
    <w:rPr>
      <w:b/>
      <w:bCs/>
    </w:rPr>
  </w:style>
  <w:style w:type="character" w:customStyle="1" w:styleId="Otsikko3Char">
    <w:name w:val="Otsikko 3 Char"/>
    <w:basedOn w:val="Kappaleenoletusfontti"/>
    <w:link w:val="Otsikko3"/>
    <w:uiPriority w:val="9"/>
    <w:rsid w:val="000260FB"/>
    <w:rPr>
      <w:rFonts w:asciiTheme="majorHAnsi" w:eastAsiaTheme="majorEastAsia" w:hAnsiTheme="majorHAnsi" w:cstheme="majorBidi"/>
      <w:color w:val="3E3E3E" w:themeColor="background2" w:themeShade="40"/>
      <w:sz w:val="24"/>
      <w:szCs w:val="24"/>
    </w:rPr>
  </w:style>
  <w:style w:type="character" w:customStyle="1" w:styleId="Otsikko4Char">
    <w:name w:val="Otsikko 4 Char"/>
    <w:basedOn w:val="Kappaleenoletusfontti"/>
    <w:link w:val="Otsikko4"/>
    <w:uiPriority w:val="9"/>
    <w:rsid w:val="000260FB"/>
    <w:rPr>
      <w:rFonts w:asciiTheme="majorHAnsi" w:eastAsiaTheme="majorEastAsia" w:hAnsiTheme="majorHAnsi" w:cstheme="majorBidi"/>
      <w:i/>
      <w:iCs/>
      <w:color w:val="A5A5A5" w:themeColor="accent1" w:themeShade="BF"/>
      <w:sz w:val="20"/>
    </w:rPr>
  </w:style>
  <w:style w:type="paragraph" w:styleId="Alaotsikko">
    <w:name w:val="Subtitle"/>
    <w:basedOn w:val="Normaali"/>
    <w:next w:val="Normaali"/>
    <w:link w:val="AlaotsikkoChar"/>
    <w:uiPriority w:val="11"/>
    <w:qFormat/>
    <w:rsid w:val="000260FB"/>
    <w:pPr>
      <w:numPr>
        <w:ilvl w:val="1"/>
      </w:numPr>
      <w:spacing w:after="160"/>
    </w:pPr>
    <w:rPr>
      <w:rFonts w:eastAsiaTheme="minorEastAsia" w:cstheme="minorBidi"/>
      <w:color w:val="5A5A5A" w:themeColor="text1" w:themeTint="A5"/>
      <w:spacing w:val="15"/>
      <w:sz w:val="22"/>
    </w:rPr>
  </w:style>
  <w:style w:type="character" w:customStyle="1" w:styleId="AlaotsikkoChar">
    <w:name w:val="Alaotsikko Char"/>
    <w:basedOn w:val="Kappaleenoletusfontti"/>
    <w:link w:val="Alaotsikko"/>
    <w:uiPriority w:val="11"/>
    <w:rsid w:val="000260FB"/>
    <w:rPr>
      <w:rFonts w:eastAsiaTheme="minorEastAsia"/>
      <w:color w:val="5A5A5A" w:themeColor="text1" w:themeTint="A5"/>
      <w:spacing w:val="15"/>
    </w:rPr>
  </w:style>
  <w:style w:type="character" w:styleId="Voimakaskorostus">
    <w:name w:val="Intense Emphasis"/>
    <w:basedOn w:val="Kappaleenoletusfontti"/>
    <w:uiPriority w:val="21"/>
    <w:rsid w:val="000260FB"/>
    <w:rPr>
      <w:i/>
      <w:iCs/>
      <w:color w:val="DDDDDD" w:themeColor="accent1"/>
    </w:rPr>
  </w:style>
  <w:style w:type="paragraph" w:styleId="Lainaus">
    <w:name w:val="Quote"/>
    <w:basedOn w:val="Normaali"/>
    <w:next w:val="Normaali"/>
    <w:link w:val="LainausChar"/>
    <w:uiPriority w:val="29"/>
    <w:qFormat/>
    <w:rsid w:val="000260FB"/>
    <w:pPr>
      <w:spacing w:before="200" w:after="160"/>
      <w:ind w:left="864" w:right="864"/>
    </w:pPr>
    <w:rPr>
      <w:i/>
      <w:iCs/>
      <w:color w:val="404040" w:themeColor="text1" w:themeTint="BF"/>
    </w:rPr>
  </w:style>
  <w:style w:type="character" w:customStyle="1" w:styleId="LainausChar">
    <w:name w:val="Lainaus Char"/>
    <w:basedOn w:val="Kappaleenoletusfontti"/>
    <w:link w:val="Lainaus"/>
    <w:uiPriority w:val="29"/>
    <w:rsid w:val="000260FB"/>
    <w:rPr>
      <w:rFonts w:cstheme="minorHAnsi"/>
      <w:i/>
      <w:iCs/>
      <w:color w:val="404040" w:themeColor="text1" w:themeTint="BF"/>
      <w:sz w:val="20"/>
    </w:rPr>
  </w:style>
  <w:style w:type="paragraph" w:styleId="Erottuvalainaus">
    <w:name w:val="Intense Quote"/>
    <w:basedOn w:val="Normaali"/>
    <w:next w:val="Normaali"/>
    <w:link w:val="ErottuvalainausChar"/>
    <w:uiPriority w:val="30"/>
    <w:qFormat/>
    <w:rsid w:val="000260FB"/>
    <w:pPr>
      <w:pBdr>
        <w:top w:val="single" w:sz="4" w:space="10" w:color="DDDDDD" w:themeColor="accent1"/>
        <w:bottom w:val="single" w:sz="4" w:space="10" w:color="DDDDDD" w:themeColor="accent1"/>
      </w:pBdr>
      <w:spacing w:before="360" w:after="360"/>
      <w:ind w:left="864" w:right="864"/>
      <w:jc w:val="center"/>
    </w:pPr>
    <w:rPr>
      <w:i/>
      <w:iCs/>
      <w:color w:val="DDDDDD" w:themeColor="accent1"/>
    </w:rPr>
  </w:style>
  <w:style w:type="character" w:customStyle="1" w:styleId="ErottuvalainausChar">
    <w:name w:val="Erottuva lainaus Char"/>
    <w:basedOn w:val="Kappaleenoletusfontti"/>
    <w:link w:val="Erottuvalainaus"/>
    <w:uiPriority w:val="30"/>
    <w:rsid w:val="000260FB"/>
    <w:rPr>
      <w:rFonts w:cstheme="minorHAnsi"/>
      <w:i/>
      <w:iCs/>
      <w:color w:val="DDDDDD" w:themeColor="accent1"/>
      <w:sz w:val="20"/>
    </w:rPr>
  </w:style>
  <w:style w:type="character" w:styleId="Kirjannimike">
    <w:name w:val="Book Title"/>
    <w:basedOn w:val="Kappaleenoletusfontti"/>
    <w:uiPriority w:val="33"/>
    <w:rsid w:val="000260FB"/>
    <w:rPr>
      <w:b/>
      <w:bCs/>
      <w:i/>
      <w:iCs/>
      <w:spacing w:val="5"/>
    </w:rPr>
  </w:style>
  <w:style w:type="character" w:customStyle="1" w:styleId="Otsikko5Char">
    <w:name w:val="Otsikko 5 Char"/>
    <w:basedOn w:val="Kappaleenoletusfontti"/>
    <w:link w:val="Otsikko5"/>
    <w:uiPriority w:val="9"/>
    <w:rsid w:val="000260FB"/>
    <w:rPr>
      <w:rFonts w:asciiTheme="majorHAnsi" w:eastAsiaTheme="majorEastAsia" w:hAnsiTheme="majorHAnsi" w:cstheme="majorBidi"/>
      <w:color w:val="A5A5A5" w:themeColor="accent1" w:themeShade="BF"/>
      <w:sz w:val="20"/>
    </w:rPr>
  </w:style>
  <w:style w:type="character" w:customStyle="1" w:styleId="Otsikko6Char">
    <w:name w:val="Otsikko 6 Char"/>
    <w:basedOn w:val="Kappaleenoletusfontti"/>
    <w:link w:val="Otsikko6"/>
    <w:uiPriority w:val="9"/>
    <w:rsid w:val="000260FB"/>
    <w:rPr>
      <w:rFonts w:asciiTheme="majorHAnsi" w:eastAsiaTheme="majorEastAsia" w:hAnsiTheme="majorHAnsi" w:cstheme="majorBidi"/>
      <w:color w:val="6E6E6E" w:themeColor="accent1" w:themeShade="7F"/>
      <w:sz w:val="20"/>
    </w:rPr>
  </w:style>
  <w:style w:type="character" w:customStyle="1" w:styleId="Otsikko7Char">
    <w:name w:val="Otsikko 7 Char"/>
    <w:basedOn w:val="Kappaleenoletusfontti"/>
    <w:link w:val="Otsikko7"/>
    <w:uiPriority w:val="9"/>
    <w:rsid w:val="000260FB"/>
    <w:rPr>
      <w:rFonts w:asciiTheme="majorHAnsi" w:eastAsiaTheme="majorEastAsia" w:hAnsiTheme="majorHAnsi" w:cstheme="majorBidi"/>
      <w:i/>
      <w:iCs/>
      <w:color w:val="6E6E6E" w:themeColor="accent1" w:themeShade="7F"/>
      <w:sz w:val="20"/>
    </w:rPr>
  </w:style>
  <w:style w:type="paragraph" w:styleId="Seliteteksti">
    <w:name w:val="Balloon Text"/>
    <w:basedOn w:val="Normaali"/>
    <w:link w:val="SelitetekstiChar"/>
    <w:uiPriority w:val="99"/>
    <w:semiHidden/>
    <w:unhideWhenUsed/>
    <w:rsid w:val="00324961"/>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24961"/>
    <w:rPr>
      <w:rFonts w:ascii="Segoe UI" w:hAnsi="Segoe UI" w:cs="Segoe UI"/>
      <w:sz w:val="18"/>
      <w:szCs w:val="18"/>
    </w:rPr>
  </w:style>
  <w:style w:type="paragraph" w:customStyle="1" w:styleId="xmsonormal">
    <w:name w:val="x_msonormal"/>
    <w:basedOn w:val="Normaali"/>
    <w:rsid w:val="003552F0"/>
    <w:rPr>
      <w:rFonts w:ascii="Calibri" w:hAnsi="Calibri" w:cs="Calibri"/>
      <w:sz w:val="22"/>
      <w:lang w:eastAsia="fi-FI"/>
    </w:rPr>
  </w:style>
  <w:style w:type="table" w:styleId="Yksinkertainentaulukko2">
    <w:name w:val="Plain Table 2"/>
    <w:basedOn w:val="Normaalitaulukko"/>
    <w:uiPriority w:val="42"/>
    <w:rsid w:val="0094660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89231">
      <w:bodyDiv w:val="1"/>
      <w:marLeft w:val="0"/>
      <w:marRight w:val="0"/>
      <w:marTop w:val="0"/>
      <w:marBottom w:val="0"/>
      <w:divBdr>
        <w:top w:val="none" w:sz="0" w:space="0" w:color="auto"/>
        <w:left w:val="none" w:sz="0" w:space="0" w:color="auto"/>
        <w:bottom w:val="none" w:sz="0" w:space="0" w:color="auto"/>
        <w:right w:val="none" w:sz="0" w:space="0" w:color="auto"/>
      </w:divBdr>
    </w:div>
    <w:div w:id="356807499">
      <w:bodyDiv w:val="1"/>
      <w:marLeft w:val="0"/>
      <w:marRight w:val="0"/>
      <w:marTop w:val="0"/>
      <w:marBottom w:val="0"/>
      <w:divBdr>
        <w:top w:val="none" w:sz="0" w:space="0" w:color="auto"/>
        <w:left w:val="none" w:sz="0" w:space="0" w:color="auto"/>
        <w:bottom w:val="none" w:sz="0" w:space="0" w:color="auto"/>
        <w:right w:val="none" w:sz="0" w:space="0" w:color="auto"/>
      </w:divBdr>
    </w:div>
    <w:div w:id="655763998">
      <w:bodyDiv w:val="1"/>
      <w:marLeft w:val="0"/>
      <w:marRight w:val="0"/>
      <w:marTop w:val="0"/>
      <w:marBottom w:val="0"/>
      <w:divBdr>
        <w:top w:val="none" w:sz="0" w:space="0" w:color="auto"/>
        <w:left w:val="none" w:sz="0" w:space="0" w:color="auto"/>
        <w:bottom w:val="none" w:sz="0" w:space="0" w:color="auto"/>
        <w:right w:val="none" w:sz="0" w:space="0" w:color="auto"/>
      </w:divBdr>
    </w:div>
    <w:div w:id="797647445">
      <w:bodyDiv w:val="1"/>
      <w:marLeft w:val="0"/>
      <w:marRight w:val="0"/>
      <w:marTop w:val="0"/>
      <w:marBottom w:val="0"/>
      <w:divBdr>
        <w:top w:val="none" w:sz="0" w:space="0" w:color="auto"/>
        <w:left w:val="none" w:sz="0" w:space="0" w:color="auto"/>
        <w:bottom w:val="none" w:sz="0" w:space="0" w:color="auto"/>
        <w:right w:val="none" w:sz="0" w:space="0" w:color="auto"/>
      </w:divBdr>
    </w:div>
    <w:div w:id="1852990550">
      <w:bodyDiv w:val="1"/>
      <w:marLeft w:val="0"/>
      <w:marRight w:val="0"/>
      <w:marTop w:val="0"/>
      <w:marBottom w:val="0"/>
      <w:divBdr>
        <w:top w:val="none" w:sz="0" w:space="0" w:color="auto"/>
        <w:left w:val="none" w:sz="0" w:space="0" w:color="auto"/>
        <w:bottom w:val="none" w:sz="0" w:space="0" w:color="auto"/>
        <w:right w:val="none" w:sz="0" w:space="0" w:color="auto"/>
      </w:divBdr>
    </w:div>
    <w:div w:id="1995793739">
      <w:bodyDiv w:val="1"/>
      <w:marLeft w:val="0"/>
      <w:marRight w:val="0"/>
      <w:marTop w:val="0"/>
      <w:marBottom w:val="0"/>
      <w:divBdr>
        <w:top w:val="none" w:sz="0" w:space="0" w:color="auto"/>
        <w:left w:val="none" w:sz="0" w:space="0" w:color="auto"/>
        <w:bottom w:val="none" w:sz="0" w:space="0" w:color="auto"/>
        <w:right w:val="none" w:sz="0" w:space="0" w:color="auto"/>
      </w:divBdr>
    </w:div>
    <w:div w:id="2023313770">
      <w:bodyDiv w:val="1"/>
      <w:marLeft w:val="0"/>
      <w:marRight w:val="0"/>
      <w:marTop w:val="0"/>
      <w:marBottom w:val="0"/>
      <w:divBdr>
        <w:top w:val="none" w:sz="0" w:space="0" w:color="auto"/>
        <w:left w:val="none" w:sz="0" w:space="0" w:color="auto"/>
        <w:bottom w:val="none" w:sz="0" w:space="0" w:color="auto"/>
        <w:right w:val="none" w:sz="0" w:space="0" w:color="auto"/>
      </w:divBdr>
    </w:div>
    <w:div w:id="2121297876">
      <w:bodyDiv w:val="1"/>
      <w:marLeft w:val="0"/>
      <w:marRight w:val="0"/>
      <w:marTop w:val="0"/>
      <w:marBottom w:val="0"/>
      <w:divBdr>
        <w:top w:val="none" w:sz="0" w:space="0" w:color="auto"/>
        <w:left w:val="none" w:sz="0" w:space="0" w:color="auto"/>
        <w:bottom w:val="none" w:sz="0" w:space="0" w:color="auto"/>
        <w:right w:val="none" w:sz="0" w:space="0" w:color="auto"/>
      </w:divBdr>
    </w:div>
    <w:div w:id="212638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or\AppData\Local\Packages\Microsoft.MicrosoftEdge_8wekyb3d8bbwe\TempState\Downloads\Kesla%20(1).dotx" TargetMode="External"/></Relationships>
</file>

<file path=word/theme/theme1.xml><?xml version="1.0" encoding="utf-8"?>
<a:theme xmlns:a="http://schemas.openxmlformats.org/drawingml/2006/main" name="Kesla">
  <a:themeElements>
    <a:clrScheme name="Harmaasävy">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Kesla" id="{717BBF71-38AA-40CE-9705-98F633B3515B}" vid="{0625322B-DB73-4827-A0BF-1A4A11CD265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5630F-BE9B-4111-B0CB-E2EE60DD7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Kesla (1)</Template>
  <TotalTime>825</TotalTime>
  <Pages>4</Pages>
  <Words>1026</Words>
  <Characters>8311</Characters>
  <Application>Microsoft Office Word</Application>
  <DocSecurity>0</DocSecurity>
  <Lines>69</Lines>
  <Paragraphs>18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Sarita Kortelainen</dc:creator>
  <cp:keywords/>
  <dc:description/>
  <cp:lastModifiedBy>Sarita Kortelainen</cp:lastModifiedBy>
  <cp:revision>132</cp:revision>
  <cp:lastPrinted>2017-03-06T13:55:00Z</cp:lastPrinted>
  <dcterms:created xsi:type="dcterms:W3CDTF">2021-12-21T08:01:00Z</dcterms:created>
  <dcterms:modified xsi:type="dcterms:W3CDTF">2022-02-10T09:07:00Z</dcterms:modified>
</cp:coreProperties>
</file>